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3"/>
        <w:jc w:val="center"/>
        <w:rPr>
          <w:rFonts w:hAnsi="仿宋" w:cs="Times New Roman"/>
          <w:b/>
          <w:sz w:val="44"/>
          <w:szCs w:val="52"/>
        </w:rPr>
      </w:pPr>
      <w:bookmarkStart w:id="0" w:name="_Hlk110849799"/>
      <w:bookmarkEnd w:id="0"/>
    </w:p>
    <w:p>
      <w:pPr>
        <w:ind w:firstLine="883"/>
        <w:jc w:val="center"/>
        <w:rPr>
          <w:rFonts w:hAnsi="仿宋" w:cs="Times New Roman"/>
          <w:b/>
          <w:sz w:val="44"/>
          <w:szCs w:val="52"/>
        </w:rPr>
      </w:pPr>
    </w:p>
    <w:p>
      <w:pPr>
        <w:ind w:firstLine="883"/>
        <w:jc w:val="center"/>
        <w:rPr>
          <w:rFonts w:hAnsi="仿宋" w:cs="Times New Roman"/>
          <w:b/>
          <w:sz w:val="44"/>
          <w:szCs w:val="52"/>
        </w:rPr>
      </w:pPr>
    </w:p>
    <w:p>
      <w:pPr>
        <w:ind w:firstLine="883"/>
        <w:jc w:val="center"/>
        <w:rPr>
          <w:rFonts w:hAnsi="仿宋" w:cs="Times New Roman"/>
          <w:b/>
          <w:sz w:val="44"/>
          <w:szCs w:val="52"/>
        </w:rPr>
      </w:pPr>
    </w:p>
    <w:p>
      <w:pPr>
        <w:ind w:firstLine="883"/>
        <w:jc w:val="center"/>
        <w:rPr>
          <w:rFonts w:hAnsi="仿宋" w:cs="Times New Roman"/>
          <w:b/>
          <w:sz w:val="44"/>
          <w:szCs w:val="52"/>
        </w:rPr>
      </w:pPr>
    </w:p>
    <w:p>
      <w:pPr>
        <w:ind w:firstLine="883"/>
        <w:jc w:val="center"/>
        <w:rPr>
          <w:rFonts w:hAnsi="仿宋" w:cs="Times New Roman"/>
          <w:b/>
          <w:sz w:val="44"/>
          <w:szCs w:val="52"/>
        </w:rPr>
      </w:pPr>
    </w:p>
    <w:p>
      <w:pPr>
        <w:ind w:left="0" w:leftChars="0" w:firstLine="0" w:firstLineChars="0"/>
        <w:jc w:val="center"/>
        <w:rPr>
          <w:rFonts w:hint="eastAsia" w:hAnsi="仿宋" w:cs="Times New Roman"/>
          <w:b/>
          <w:sz w:val="44"/>
          <w:szCs w:val="52"/>
        </w:rPr>
      </w:pPr>
      <w:r>
        <w:rPr>
          <w:rFonts w:hint="eastAsia" w:hAnsi="仿宋" w:cs="Times New Roman"/>
          <w:b/>
          <w:sz w:val="44"/>
          <w:szCs w:val="52"/>
        </w:rPr>
        <w:t>新能源电池及材料研发生产基地建设</w:t>
      </w:r>
    </w:p>
    <w:p>
      <w:pPr>
        <w:ind w:left="0" w:leftChars="0" w:firstLine="0" w:firstLineChars="0"/>
        <w:jc w:val="center"/>
        <w:rPr>
          <w:rFonts w:hAnsi="仿宋" w:cs="Times New Roman"/>
          <w:b/>
          <w:sz w:val="44"/>
          <w:szCs w:val="52"/>
        </w:rPr>
      </w:pPr>
      <w:r>
        <w:rPr>
          <w:rFonts w:hint="eastAsia" w:hAnsi="仿宋" w:cs="Times New Roman"/>
          <w:b/>
          <w:sz w:val="44"/>
          <w:szCs w:val="52"/>
        </w:rPr>
        <w:t>规划（2022-2030年）</w:t>
      </w:r>
    </w:p>
    <w:p>
      <w:pPr>
        <w:ind w:firstLine="883"/>
        <w:jc w:val="center"/>
        <w:rPr>
          <w:rFonts w:hAnsi="仿宋" w:cs="Times New Roman"/>
          <w:b/>
          <w:sz w:val="44"/>
          <w:szCs w:val="52"/>
        </w:rPr>
      </w:pPr>
    </w:p>
    <w:p>
      <w:pPr>
        <w:ind w:firstLine="883"/>
        <w:jc w:val="center"/>
        <w:rPr>
          <w:rFonts w:hAnsi="仿宋" w:cs="Times New Roman"/>
          <w:b/>
          <w:sz w:val="44"/>
          <w:szCs w:val="52"/>
        </w:rPr>
      </w:pPr>
    </w:p>
    <w:p>
      <w:pPr>
        <w:ind w:firstLine="883"/>
        <w:jc w:val="center"/>
        <w:rPr>
          <w:rFonts w:hAnsi="仿宋" w:cs="Times New Roman"/>
          <w:b/>
          <w:sz w:val="44"/>
          <w:szCs w:val="52"/>
        </w:rPr>
      </w:pPr>
    </w:p>
    <w:p>
      <w:pPr>
        <w:ind w:firstLine="883"/>
        <w:jc w:val="center"/>
        <w:rPr>
          <w:rFonts w:hAnsi="仿宋" w:cs="Times New Roman"/>
          <w:b/>
          <w:sz w:val="44"/>
          <w:szCs w:val="52"/>
        </w:rPr>
      </w:pPr>
    </w:p>
    <w:p>
      <w:pPr>
        <w:ind w:firstLine="883"/>
        <w:jc w:val="center"/>
        <w:rPr>
          <w:rFonts w:hAnsi="仿宋" w:cs="Times New Roman"/>
          <w:b/>
          <w:sz w:val="44"/>
          <w:szCs w:val="52"/>
        </w:rPr>
      </w:pPr>
    </w:p>
    <w:p>
      <w:pPr>
        <w:ind w:firstLine="883"/>
        <w:jc w:val="center"/>
        <w:rPr>
          <w:rFonts w:hAnsi="仿宋" w:cs="Times New Roman"/>
          <w:b/>
          <w:sz w:val="44"/>
          <w:szCs w:val="52"/>
        </w:rPr>
      </w:pPr>
      <w:bookmarkStart w:id="72" w:name="_GoBack"/>
      <w:bookmarkEnd w:id="72"/>
    </w:p>
    <w:p>
      <w:pPr>
        <w:ind w:firstLine="883"/>
        <w:jc w:val="center"/>
        <w:rPr>
          <w:rFonts w:hAnsi="仿宋" w:cs="Times New Roman"/>
          <w:b/>
          <w:sz w:val="44"/>
          <w:szCs w:val="52"/>
        </w:rPr>
      </w:pPr>
    </w:p>
    <w:p>
      <w:pPr>
        <w:ind w:firstLine="883"/>
        <w:jc w:val="center"/>
        <w:rPr>
          <w:rFonts w:hAnsi="仿宋" w:cs="Times New Roman"/>
          <w:b/>
          <w:sz w:val="44"/>
          <w:szCs w:val="52"/>
        </w:rPr>
      </w:pPr>
    </w:p>
    <w:p>
      <w:pPr>
        <w:ind w:firstLine="883"/>
        <w:jc w:val="center"/>
        <w:rPr>
          <w:rFonts w:hAnsi="仿宋" w:cs="Times New Roman"/>
          <w:b/>
          <w:sz w:val="44"/>
          <w:szCs w:val="52"/>
        </w:rPr>
      </w:pPr>
    </w:p>
    <w:p>
      <w:pPr>
        <w:ind w:firstLine="0" w:firstLineChars="0"/>
        <w:jc w:val="center"/>
        <w:rPr>
          <w:rFonts w:hAnsi="仿宋" w:cs="Times New Roman"/>
          <w:b/>
          <w:sz w:val="32"/>
          <w:szCs w:val="32"/>
        </w:rPr>
      </w:pPr>
      <w:r>
        <w:rPr>
          <w:rFonts w:hint="eastAsia" w:hAnsi="仿宋" w:cs="Times New Roman"/>
          <w:b/>
          <w:sz w:val="32"/>
          <w:szCs w:val="32"/>
        </w:rPr>
        <w:t>贵州省工业和信息化厅</w:t>
      </w:r>
    </w:p>
    <w:p>
      <w:pPr>
        <w:pStyle w:val="2"/>
        <w:ind w:firstLine="0" w:firstLineChars="0"/>
        <w:jc w:val="center"/>
      </w:pPr>
      <w:r>
        <w:rPr>
          <w:rFonts w:hint="eastAsia" w:hAnsi="仿宋" w:cs="Times New Roman"/>
          <w:b/>
          <w:sz w:val="32"/>
          <w:szCs w:val="32"/>
        </w:rPr>
        <w:t>北京伊维规划设计研究院有限公司</w:t>
      </w:r>
    </w:p>
    <w:p>
      <w:pPr>
        <w:ind w:firstLine="0" w:firstLineChars="0"/>
        <w:jc w:val="center"/>
        <w:rPr>
          <w:rFonts w:hAnsi="仿宋" w:cs="Times New Roman"/>
          <w:b/>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18" w:right="1531" w:bottom="1985" w:left="1531" w:header="851" w:footer="992" w:gutter="0"/>
          <w:cols w:space="425" w:num="1"/>
          <w:docGrid w:type="lines" w:linePitch="312" w:charSpace="0"/>
        </w:sectPr>
      </w:pPr>
      <w:bookmarkStart w:id="1" w:name="_Hlk114481050"/>
      <w:r>
        <w:rPr>
          <w:rFonts w:hint="eastAsia" w:hAnsi="仿宋" w:cs="Times New Roman"/>
          <w:b/>
          <w:sz w:val="32"/>
          <w:szCs w:val="32"/>
        </w:rPr>
        <w:t>二○二二年十月</w:t>
      </w:r>
    </w:p>
    <w:bookmarkEnd w:id="1"/>
    <w:p>
      <w:pPr>
        <w:pStyle w:val="3"/>
        <w:jc w:val="center"/>
      </w:pPr>
      <w:bookmarkStart w:id="2" w:name="_Toc118297162"/>
      <w:bookmarkStart w:id="3" w:name="_Toc112628133"/>
      <w:bookmarkStart w:id="4" w:name="_Toc116640290"/>
      <w:bookmarkStart w:id="5" w:name="_Toc116905935"/>
      <w:bookmarkStart w:id="6" w:name="_Toc117588980"/>
      <w:bookmarkStart w:id="7" w:name="_Toc112339288"/>
      <w:bookmarkStart w:id="8" w:name="_Toc112513322"/>
      <w:bookmarkStart w:id="9" w:name="_Toc118298098"/>
      <w:bookmarkStart w:id="10" w:name="_Toc116993026"/>
      <w:bookmarkStart w:id="11" w:name="_Toc112339287"/>
      <w:r>
        <w:rPr>
          <w:rFonts w:hint="eastAsia"/>
        </w:rPr>
        <w:t>前 言</w:t>
      </w:r>
      <w:bookmarkEnd w:id="2"/>
      <w:bookmarkEnd w:id="3"/>
      <w:bookmarkEnd w:id="4"/>
      <w:bookmarkEnd w:id="5"/>
      <w:bookmarkEnd w:id="6"/>
      <w:bookmarkEnd w:id="7"/>
      <w:bookmarkEnd w:id="8"/>
      <w:bookmarkEnd w:id="9"/>
      <w:bookmarkEnd w:id="10"/>
    </w:p>
    <w:p>
      <w:pPr>
        <w:ind w:firstLine="560"/>
      </w:pPr>
      <w:r>
        <w:rPr>
          <w:rFonts w:hint="eastAsia"/>
        </w:rPr>
        <w:t>近年来，全球生态环境、气候变暖等问题日益严峻，我国提出了碳排放在2030年前达到峰值，在2060年前实现碳中和的目标。2021年，电力行业、交通行业碳排放占全球碳排放比重分别为38.9%、20.3%。其中电力行业碳减排主要手段为提高风电、光伏等清洁能源发电占比，交通行业碳减排主要方式为新能源汽车的逐渐普及。而新能源电池及材料是清洁能源消纳的重要保障和新能源汽车的动力来源之一，在碳减排背景下的重要价值逐渐凸显。</w:t>
      </w:r>
    </w:p>
    <w:p>
      <w:pPr>
        <w:ind w:firstLine="560"/>
      </w:pPr>
      <w:r>
        <w:rPr>
          <w:rFonts w:hint="eastAsia"/>
        </w:rPr>
        <w:t>为深入贯彻落实习近平总书记视察贵州重要讲话精神、《国务院关于支持贵州在新时代西部大开发上闯新路的意见》（国发〔2022〕2号）以及《贵州省国民经济和社会发展第十四个五年规划和2035 年远景目标纲要》等文件精神，指导我省抢抓“双碳”战略重大发展机遇，依托丰富的上游资源及磷氟化工产业基础，加快推进我省新能源电池及材料产业高质量发展，建设新能源动力电池及材料研发生产基地，确保贵州在新时代西部大开发上闯新路抢得先机、赢在起点，特编制本规划。</w:t>
      </w:r>
    </w:p>
    <w:p>
      <w:pPr>
        <w:ind w:firstLine="560"/>
      </w:pPr>
      <w:r>
        <w:rPr>
          <w:rFonts w:hint="eastAsia"/>
        </w:rPr>
        <w:t>规划所称新能源电池及材料产业包括新能源电池产业和新能源电池材料产业两大部分。</w:t>
      </w:r>
    </w:p>
    <w:p>
      <w:pPr>
        <w:ind w:firstLine="560"/>
        <w:sectPr>
          <w:headerReference r:id="rId11" w:type="default"/>
          <w:footerReference r:id="rId12" w:type="default"/>
          <w:pgSz w:w="11906" w:h="16838"/>
          <w:pgMar w:top="1418" w:right="1531" w:bottom="1985" w:left="1531" w:header="851" w:footer="992" w:gutter="0"/>
          <w:pgNumType w:start="1"/>
          <w:cols w:space="425" w:num="1"/>
          <w:docGrid w:type="lines" w:linePitch="312" w:charSpace="0"/>
        </w:sectPr>
      </w:pPr>
      <w:r>
        <w:rPr>
          <w:rFonts w:hint="eastAsia"/>
        </w:rPr>
        <w:t>规划期为2</w:t>
      </w:r>
      <w:r>
        <w:t>022</w:t>
      </w:r>
      <w:r>
        <w:rPr>
          <w:rFonts w:hint="eastAsia"/>
        </w:rPr>
        <w:t>—</w:t>
      </w:r>
      <w:r>
        <w:t>2030</w:t>
      </w:r>
      <w:r>
        <w:rPr>
          <w:rFonts w:hint="eastAsia"/>
        </w:rPr>
        <w:t>年。</w:t>
      </w:r>
    </w:p>
    <w:p>
      <w:pPr>
        <w:pStyle w:val="3"/>
        <w:jc w:val="center"/>
      </w:pPr>
      <w:bookmarkStart w:id="12" w:name="_Toc112628134"/>
      <w:bookmarkStart w:id="13" w:name="_Toc116905936"/>
      <w:bookmarkStart w:id="14" w:name="_Toc116640291"/>
      <w:bookmarkStart w:id="15" w:name="_Toc112513323"/>
      <w:bookmarkStart w:id="16" w:name="_Toc118298099"/>
      <w:bookmarkStart w:id="17" w:name="_Toc116993027"/>
      <w:bookmarkStart w:id="18" w:name="_Toc118297163"/>
      <w:bookmarkStart w:id="19" w:name="_Toc117588981"/>
      <w:r>
        <w:rPr>
          <w:rFonts w:hint="eastAsia"/>
        </w:rPr>
        <w:t>目 录</w:t>
      </w:r>
      <w:bookmarkEnd w:id="11"/>
      <w:bookmarkEnd w:id="12"/>
      <w:bookmarkEnd w:id="13"/>
      <w:bookmarkEnd w:id="14"/>
      <w:bookmarkEnd w:id="15"/>
      <w:bookmarkEnd w:id="16"/>
      <w:bookmarkEnd w:id="17"/>
      <w:bookmarkEnd w:id="18"/>
      <w:bookmarkEnd w:id="19"/>
    </w:p>
    <w:sdt>
      <w:sdtPr>
        <w:rPr>
          <w:lang w:val="zh-CN"/>
        </w:rPr>
        <w:id w:val="-1015452235"/>
        <w:docPartObj>
          <w:docPartGallery w:val="Table of Contents"/>
          <w:docPartUnique/>
        </w:docPartObj>
      </w:sdtPr>
      <w:sdtEndPr>
        <w:rPr>
          <w:b w:val="0"/>
          <w:bCs/>
          <w:lang w:val="zh-CN"/>
        </w:rPr>
      </w:sdtEndPr>
      <w:sdtContent>
        <w:p>
          <w:pPr>
            <w:pStyle w:val="16"/>
            <w:ind w:firstLine="482"/>
            <w:rPr>
              <w:rFonts w:asciiTheme="minorHAnsi" w:hAnsiTheme="minorHAnsi" w:eastAsiaTheme="minorEastAsia"/>
              <w:b w:val="0"/>
              <w:sz w:val="21"/>
            </w:rPr>
          </w:pPr>
          <w:r>
            <w:rPr>
              <w:b w:val="0"/>
            </w:rPr>
            <w:fldChar w:fldCharType="begin"/>
          </w:r>
          <w:r>
            <w:rPr>
              <w:b w:val="0"/>
            </w:rPr>
            <w:instrText xml:space="preserve"> TOC \o "1-3" \h \z \u </w:instrText>
          </w:r>
          <w:r>
            <w:rPr>
              <w:b w:val="0"/>
            </w:rPr>
            <w:fldChar w:fldCharType="separate"/>
          </w:r>
          <w:r>
            <w:fldChar w:fldCharType="begin"/>
          </w:r>
          <w:r>
            <w:instrText xml:space="preserve"> HYPERLINK \l "_Toc118298100" </w:instrText>
          </w:r>
          <w:r>
            <w:fldChar w:fldCharType="separate"/>
          </w:r>
          <w:r>
            <w:rPr>
              <w:rStyle w:val="24"/>
            </w:rPr>
            <w:t>一、新能源电池及材料产业发展背景与环境</w:t>
          </w:r>
          <w:r>
            <w:tab/>
          </w:r>
          <w:r>
            <w:fldChar w:fldCharType="begin"/>
          </w:r>
          <w:r>
            <w:instrText xml:space="preserve"> PAGEREF _Toc118298100 \h </w:instrText>
          </w:r>
          <w:r>
            <w:fldChar w:fldCharType="separate"/>
          </w:r>
          <w:r>
            <w:t>- 1 -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"_Toc118298101" </w:instrText>
          </w:r>
          <w:r>
            <w:fldChar w:fldCharType="separate"/>
          </w:r>
          <w:r>
            <w:rPr>
              <w:rStyle w:val="24"/>
            </w:rPr>
            <w:t>（一）产业政策环境分析</w:t>
          </w:r>
          <w:r>
            <w:tab/>
          </w:r>
          <w:r>
            <w:fldChar w:fldCharType="begin"/>
          </w:r>
          <w:r>
            <w:instrText xml:space="preserve"> PAGEREF _Toc118298101 \h </w:instrText>
          </w:r>
          <w:r>
            <w:fldChar w:fldCharType="separate"/>
          </w:r>
          <w:r>
            <w:t>- 1 -</w:t>
          </w:r>
          <w:r>
            <w:fldChar w:fldCharType="end"/>
          </w:r>
          <w:r>
            <w:fldChar w:fldCharType="end"/>
          </w:r>
        </w:p>
        <w:p>
          <w:pPr>
            <w:pStyle w:val="11"/>
            <w:tabs>
              <w:tab w:val="right" w:leader="dot" w:pos="8834"/>
            </w:tabs>
            <w:ind w:left="1120" w:firstLine="400"/>
            <w:rPr>
              <w:rFonts w:asciiTheme="minorHAnsi" w:hAnsiTheme="minorHAnsi" w:eastAsiaTheme="minorEastAsia"/>
              <w:sz w:val="21"/>
            </w:rPr>
          </w:pPr>
          <w:r>
            <w:fldChar w:fldCharType="begin"/>
          </w:r>
          <w:r>
            <w:instrText xml:space="preserve"> HYPERLINK \l "_Toc118298102" </w:instrText>
          </w:r>
          <w:r>
            <w:fldChar w:fldCharType="separate"/>
          </w:r>
          <w:r>
            <w:rPr>
              <w:rStyle w:val="24"/>
            </w:rPr>
            <w:t>1. 全球能源结构低碳化转型加速推进</w:t>
          </w:r>
          <w:r>
            <w:tab/>
          </w:r>
          <w:r>
            <w:fldChar w:fldCharType="begin"/>
          </w:r>
          <w:r>
            <w:instrText xml:space="preserve"> PAGEREF _Toc118298102 \h </w:instrText>
          </w:r>
          <w:r>
            <w:fldChar w:fldCharType="separate"/>
          </w:r>
          <w:r>
            <w:t>- 1 -</w:t>
          </w:r>
          <w:r>
            <w:fldChar w:fldCharType="end"/>
          </w:r>
          <w:r>
            <w:fldChar w:fldCharType="end"/>
          </w:r>
        </w:p>
        <w:p>
          <w:pPr>
            <w:pStyle w:val="11"/>
            <w:tabs>
              <w:tab w:val="right" w:leader="dot" w:pos="8834"/>
            </w:tabs>
            <w:ind w:left="1120" w:firstLine="400"/>
            <w:rPr>
              <w:rFonts w:asciiTheme="minorHAnsi" w:hAnsiTheme="minorHAnsi" w:eastAsiaTheme="minorEastAsia"/>
              <w:sz w:val="21"/>
            </w:rPr>
          </w:pPr>
          <w:r>
            <w:fldChar w:fldCharType="begin"/>
          </w:r>
          <w:r>
            <w:instrText xml:space="preserve"> HYPERLINK \l "_Toc118298103" </w:instrText>
          </w:r>
          <w:r>
            <w:fldChar w:fldCharType="separate"/>
          </w:r>
          <w:r>
            <w:rPr>
              <w:rStyle w:val="24"/>
            </w:rPr>
            <w:t>2. 中国新能源电池及材料体系日益完善</w:t>
          </w:r>
          <w:r>
            <w:tab/>
          </w:r>
          <w:r>
            <w:fldChar w:fldCharType="begin"/>
          </w:r>
          <w:r>
            <w:instrText xml:space="preserve"> PAGEREF _Toc118298103 \h </w:instrText>
          </w:r>
          <w:r>
            <w:fldChar w:fldCharType="separate"/>
          </w:r>
          <w:r>
            <w:t>- 1 -</w:t>
          </w:r>
          <w:r>
            <w:fldChar w:fldCharType="end"/>
          </w:r>
          <w:r>
            <w:fldChar w:fldCharType="end"/>
          </w:r>
        </w:p>
        <w:p>
          <w:pPr>
            <w:pStyle w:val="11"/>
            <w:tabs>
              <w:tab w:val="right" w:leader="dot" w:pos="8834"/>
            </w:tabs>
            <w:ind w:left="1120" w:firstLine="400"/>
            <w:rPr>
              <w:rFonts w:asciiTheme="minorHAnsi" w:hAnsiTheme="minorHAnsi" w:eastAsiaTheme="minorEastAsia"/>
              <w:sz w:val="21"/>
            </w:rPr>
          </w:pPr>
          <w:r>
            <w:fldChar w:fldCharType="begin"/>
          </w:r>
          <w:r>
            <w:instrText xml:space="preserve"> HYPERLINK \l "_Toc118298104" </w:instrText>
          </w:r>
          <w:r>
            <w:fldChar w:fldCharType="separate"/>
          </w:r>
          <w:r>
            <w:rPr>
              <w:rStyle w:val="24"/>
            </w:rPr>
            <w:t>3. 新能源汽车市场化驱动产业高速发展</w:t>
          </w:r>
          <w:r>
            <w:tab/>
          </w:r>
          <w:r>
            <w:fldChar w:fldCharType="begin"/>
          </w:r>
          <w:r>
            <w:instrText xml:space="preserve"> PAGEREF _Toc118298104 \h </w:instrText>
          </w:r>
          <w:r>
            <w:fldChar w:fldCharType="separate"/>
          </w:r>
          <w:r>
            <w:t>- 1 -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"_Toc118298105" </w:instrText>
          </w:r>
          <w:r>
            <w:fldChar w:fldCharType="separate"/>
          </w:r>
          <w:r>
            <w:rPr>
              <w:rStyle w:val="24"/>
            </w:rPr>
            <w:t>（二）产业发展特点分析</w:t>
          </w:r>
          <w:r>
            <w:tab/>
          </w:r>
          <w:r>
            <w:fldChar w:fldCharType="begin"/>
          </w:r>
          <w:r>
            <w:instrText xml:space="preserve"> PAGEREF _Toc118298105 \h </w:instrText>
          </w:r>
          <w:r>
            <w:fldChar w:fldCharType="separate"/>
          </w:r>
          <w:r>
            <w:t>- 2 -</w:t>
          </w:r>
          <w:r>
            <w:fldChar w:fldCharType="end"/>
          </w:r>
          <w:r>
            <w:fldChar w:fldCharType="end"/>
          </w:r>
        </w:p>
        <w:p>
          <w:pPr>
            <w:pStyle w:val="11"/>
            <w:tabs>
              <w:tab w:val="right" w:leader="dot" w:pos="8834"/>
            </w:tabs>
            <w:ind w:left="1120" w:firstLine="400"/>
            <w:rPr>
              <w:rFonts w:asciiTheme="minorHAnsi" w:hAnsiTheme="minorHAnsi" w:eastAsiaTheme="minorEastAsia"/>
              <w:sz w:val="21"/>
            </w:rPr>
          </w:pPr>
          <w:r>
            <w:fldChar w:fldCharType="begin"/>
          </w:r>
          <w:r>
            <w:instrText xml:space="preserve"> HYPERLINK \l "_Toc118298106" </w:instrText>
          </w:r>
          <w:r>
            <w:fldChar w:fldCharType="separate"/>
          </w:r>
          <w:r>
            <w:rPr>
              <w:rStyle w:val="24"/>
            </w:rPr>
            <w:t>1. 下游需求快速增长，上游产能结构性过剩</w:t>
          </w:r>
          <w:r>
            <w:tab/>
          </w:r>
          <w:r>
            <w:fldChar w:fldCharType="begin"/>
          </w:r>
          <w:r>
            <w:instrText xml:space="preserve"> PAGEREF _Toc118298106 \h </w:instrText>
          </w:r>
          <w:r>
            <w:fldChar w:fldCharType="separate"/>
          </w:r>
          <w:r>
            <w:t>- 2 -</w:t>
          </w:r>
          <w:r>
            <w:fldChar w:fldCharType="end"/>
          </w:r>
          <w:r>
            <w:fldChar w:fldCharType="end"/>
          </w:r>
        </w:p>
        <w:p>
          <w:pPr>
            <w:pStyle w:val="11"/>
            <w:tabs>
              <w:tab w:val="right" w:leader="dot" w:pos="8834"/>
            </w:tabs>
            <w:ind w:left="1120" w:firstLine="400"/>
            <w:rPr>
              <w:rFonts w:asciiTheme="minorHAnsi" w:hAnsiTheme="minorHAnsi" w:eastAsiaTheme="minorEastAsia"/>
              <w:sz w:val="21"/>
            </w:rPr>
          </w:pPr>
          <w:r>
            <w:fldChar w:fldCharType="begin"/>
          </w:r>
          <w:r>
            <w:instrText xml:space="preserve"> HYPERLINK \l "_Toc118298107" </w:instrText>
          </w:r>
          <w:r>
            <w:fldChar w:fldCharType="separate"/>
          </w:r>
          <w:r>
            <w:rPr>
              <w:rStyle w:val="24"/>
            </w:rPr>
            <w:t>2. 全球产业高速发展，企业竞争呈现新格局</w:t>
          </w:r>
          <w:r>
            <w:tab/>
          </w:r>
          <w:r>
            <w:fldChar w:fldCharType="begin"/>
          </w:r>
          <w:r>
            <w:instrText xml:space="preserve"> PAGEREF _Toc118298107 \h </w:instrText>
          </w:r>
          <w:r>
            <w:fldChar w:fldCharType="separate"/>
          </w:r>
          <w:r>
            <w:t>- 3 -</w:t>
          </w:r>
          <w:r>
            <w:fldChar w:fldCharType="end"/>
          </w:r>
          <w:r>
            <w:fldChar w:fldCharType="end"/>
          </w:r>
        </w:p>
        <w:p>
          <w:pPr>
            <w:pStyle w:val="11"/>
            <w:tabs>
              <w:tab w:val="right" w:leader="dot" w:pos="8834"/>
            </w:tabs>
            <w:ind w:left="1120" w:firstLine="400"/>
            <w:rPr>
              <w:rFonts w:asciiTheme="minorHAnsi" w:hAnsiTheme="minorHAnsi" w:eastAsiaTheme="minorEastAsia"/>
              <w:sz w:val="21"/>
            </w:rPr>
          </w:pPr>
          <w:r>
            <w:fldChar w:fldCharType="begin"/>
          </w:r>
          <w:r>
            <w:instrText xml:space="preserve"> HYPERLINK \l "_Toc118298108" </w:instrText>
          </w:r>
          <w:r>
            <w:fldChar w:fldCharType="separate"/>
          </w:r>
          <w:r>
            <w:rPr>
              <w:rStyle w:val="24"/>
            </w:rPr>
            <w:t>3. 依托资源成本优势，产业加速中西部转移</w:t>
          </w:r>
          <w:r>
            <w:tab/>
          </w:r>
          <w:r>
            <w:fldChar w:fldCharType="begin"/>
          </w:r>
          <w:r>
            <w:instrText xml:space="preserve"> PAGEREF _Toc118298108 \h </w:instrText>
          </w:r>
          <w:r>
            <w:fldChar w:fldCharType="separate"/>
          </w:r>
          <w:r>
            <w:t>- 3 -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"_Toc118298109" </w:instrText>
          </w:r>
          <w:r>
            <w:fldChar w:fldCharType="separate"/>
          </w:r>
          <w:r>
            <w:rPr>
              <w:rStyle w:val="24"/>
            </w:rPr>
            <w:t>（三）技术发展趋势分析</w:t>
          </w:r>
          <w:r>
            <w:tab/>
          </w:r>
          <w:r>
            <w:fldChar w:fldCharType="begin"/>
          </w:r>
          <w:r>
            <w:instrText xml:space="preserve"> PAGEREF _Toc118298109 \h </w:instrText>
          </w:r>
          <w:r>
            <w:fldChar w:fldCharType="separate"/>
          </w:r>
          <w:r>
            <w:t>- 4 -</w:t>
          </w:r>
          <w:r>
            <w:fldChar w:fldCharType="end"/>
          </w:r>
          <w:r>
            <w:fldChar w:fldCharType="end"/>
          </w:r>
        </w:p>
        <w:p>
          <w:pPr>
            <w:pStyle w:val="11"/>
            <w:tabs>
              <w:tab w:val="right" w:leader="dot" w:pos="8834"/>
            </w:tabs>
            <w:ind w:left="1120" w:firstLine="400"/>
            <w:rPr>
              <w:rFonts w:asciiTheme="minorHAnsi" w:hAnsiTheme="minorHAnsi" w:eastAsiaTheme="minorEastAsia"/>
              <w:sz w:val="21"/>
            </w:rPr>
          </w:pPr>
          <w:r>
            <w:fldChar w:fldCharType="begin"/>
          </w:r>
          <w:r>
            <w:instrText xml:space="preserve"> HYPERLINK \l "_Toc118298110" </w:instrText>
          </w:r>
          <w:r>
            <w:fldChar w:fldCharType="separate"/>
          </w:r>
          <w:r>
            <w:rPr>
              <w:rStyle w:val="24"/>
            </w:rPr>
            <w:t>1. 三元与磷酸铁锂两种技术将长期共存</w:t>
          </w:r>
          <w:r>
            <w:tab/>
          </w:r>
          <w:r>
            <w:fldChar w:fldCharType="begin"/>
          </w:r>
          <w:r>
            <w:instrText xml:space="preserve"> PAGEREF _Toc118298110 \h </w:instrText>
          </w:r>
          <w:r>
            <w:fldChar w:fldCharType="separate"/>
          </w:r>
          <w:r>
            <w:t>- 4 -</w:t>
          </w:r>
          <w:r>
            <w:fldChar w:fldCharType="end"/>
          </w:r>
          <w:r>
            <w:fldChar w:fldCharType="end"/>
          </w:r>
        </w:p>
        <w:p>
          <w:pPr>
            <w:pStyle w:val="11"/>
            <w:tabs>
              <w:tab w:val="right" w:leader="dot" w:pos="8834"/>
            </w:tabs>
            <w:ind w:left="1120" w:firstLine="400"/>
            <w:rPr>
              <w:rFonts w:asciiTheme="minorHAnsi" w:hAnsiTheme="minorHAnsi" w:eastAsiaTheme="minorEastAsia"/>
              <w:sz w:val="21"/>
            </w:rPr>
          </w:pPr>
          <w:r>
            <w:fldChar w:fldCharType="begin"/>
          </w:r>
          <w:r>
            <w:instrText xml:space="preserve"> HYPERLINK \l "_Toc118298111" </w:instrText>
          </w:r>
          <w:r>
            <w:fldChar w:fldCharType="separate"/>
          </w:r>
          <w:r>
            <w:rPr>
              <w:rStyle w:val="24"/>
            </w:rPr>
            <w:t>2. 新电池技术层出不穷，逐步实现产业化</w:t>
          </w:r>
          <w:r>
            <w:tab/>
          </w:r>
          <w:r>
            <w:fldChar w:fldCharType="begin"/>
          </w:r>
          <w:r>
            <w:instrText xml:space="preserve"> PAGEREF _Toc118298111 \h </w:instrText>
          </w:r>
          <w:r>
            <w:fldChar w:fldCharType="separate"/>
          </w:r>
          <w:r>
            <w:t>- 4 -</w:t>
          </w:r>
          <w:r>
            <w:fldChar w:fldCharType="end"/>
          </w:r>
          <w:r>
            <w:fldChar w:fldCharType="end"/>
          </w:r>
        </w:p>
        <w:p>
          <w:pPr>
            <w:pStyle w:val="11"/>
            <w:tabs>
              <w:tab w:val="right" w:leader="dot" w:pos="8834"/>
            </w:tabs>
            <w:ind w:left="1120" w:firstLine="400"/>
            <w:rPr>
              <w:rFonts w:asciiTheme="minorHAnsi" w:hAnsiTheme="minorHAnsi" w:eastAsiaTheme="minorEastAsia"/>
              <w:sz w:val="21"/>
            </w:rPr>
          </w:pPr>
          <w:r>
            <w:fldChar w:fldCharType="begin"/>
          </w:r>
          <w:r>
            <w:instrText xml:space="preserve"> HYPERLINK \l "_Toc118298112" </w:instrText>
          </w:r>
          <w:r>
            <w:fldChar w:fldCharType="separate"/>
          </w:r>
          <w:r>
            <w:rPr>
              <w:rStyle w:val="24"/>
            </w:rPr>
            <w:t>3. 资源压力催生新能源电池回收技术发展</w:t>
          </w:r>
          <w:r>
            <w:tab/>
          </w:r>
          <w:r>
            <w:fldChar w:fldCharType="begin"/>
          </w:r>
          <w:r>
            <w:instrText xml:space="preserve"> PAGEREF _Toc118298112 \h </w:instrText>
          </w:r>
          <w:r>
            <w:fldChar w:fldCharType="separate"/>
          </w:r>
          <w:r>
            <w:t>- 5 -</w:t>
          </w:r>
          <w:r>
            <w:fldChar w:fldCharType="end"/>
          </w:r>
          <w:r>
            <w:fldChar w:fldCharType="end"/>
          </w:r>
        </w:p>
        <w:p>
          <w:pPr>
            <w:pStyle w:val="16"/>
            <w:ind w:firstLine="482"/>
            <w:rPr>
              <w:rFonts w:asciiTheme="minorHAnsi" w:hAnsiTheme="minorHAnsi" w:eastAsiaTheme="minorEastAsia"/>
              <w:b w:val="0"/>
              <w:sz w:val="21"/>
            </w:rPr>
          </w:pPr>
          <w:r>
            <w:fldChar w:fldCharType="begin"/>
          </w:r>
          <w:r>
            <w:instrText xml:space="preserve"> HYPERLINK \l "_Toc118298113" </w:instrText>
          </w:r>
          <w:r>
            <w:fldChar w:fldCharType="separate"/>
          </w:r>
          <w:r>
            <w:rPr>
              <w:rStyle w:val="24"/>
            </w:rPr>
            <w:t>二、贵州省新能源电池及材料产业发展环境</w:t>
          </w:r>
          <w:r>
            <w:tab/>
          </w:r>
          <w:r>
            <w:fldChar w:fldCharType="begin"/>
          </w:r>
          <w:r>
            <w:instrText xml:space="preserve"> PAGEREF _Toc118298113 \h </w:instrText>
          </w:r>
          <w:r>
            <w:fldChar w:fldCharType="separate"/>
          </w:r>
          <w:r>
            <w:t>- 6 -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"_Toc118298114" </w:instrText>
          </w:r>
          <w:r>
            <w:fldChar w:fldCharType="separate"/>
          </w:r>
          <w:r>
            <w:rPr>
              <w:rStyle w:val="24"/>
            </w:rPr>
            <w:t>（一）发展基础</w:t>
          </w:r>
          <w:r>
            <w:tab/>
          </w:r>
          <w:r>
            <w:fldChar w:fldCharType="begin"/>
          </w:r>
          <w:r>
            <w:instrText xml:space="preserve"> PAGEREF _Toc118298114 \h </w:instrText>
          </w:r>
          <w:r>
            <w:fldChar w:fldCharType="separate"/>
          </w:r>
          <w:r>
            <w:t>- 6 -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"_Toc118298115" </w:instrText>
          </w:r>
          <w:r>
            <w:fldChar w:fldCharType="separate"/>
          </w:r>
          <w:r>
            <w:rPr>
              <w:rStyle w:val="24"/>
            </w:rPr>
            <w:t>（二）主要问题</w:t>
          </w:r>
          <w:r>
            <w:tab/>
          </w:r>
          <w:r>
            <w:fldChar w:fldCharType="begin"/>
          </w:r>
          <w:r>
            <w:instrText xml:space="preserve"> PAGEREF _Toc118298115 \h </w:instrText>
          </w:r>
          <w:r>
            <w:fldChar w:fldCharType="separate"/>
          </w:r>
          <w:r>
            <w:t>- 8 -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"_Toc118298116" </w:instrText>
          </w:r>
          <w:r>
            <w:fldChar w:fldCharType="separate"/>
          </w:r>
          <w:r>
            <w:rPr>
              <w:rStyle w:val="24"/>
            </w:rPr>
            <w:t>（三）面临形势</w:t>
          </w:r>
          <w:r>
            <w:tab/>
          </w:r>
          <w:r>
            <w:fldChar w:fldCharType="begin"/>
          </w:r>
          <w:r>
            <w:instrText xml:space="preserve"> PAGEREF _Toc118298116 \h </w:instrText>
          </w:r>
          <w:r>
            <w:fldChar w:fldCharType="separate"/>
          </w:r>
          <w:r>
            <w:t>- 9 -</w:t>
          </w:r>
          <w:r>
            <w:fldChar w:fldCharType="end"/>
          </w:r>
          <w:r>
            <w:fldChar w:fldCharType="end"/>
          </w:r>
        </w:p>
        <w:p>
          <w:pPr>
            <w:pStyle w:val="16"/>
            <w:ind w:firstLine="482"/>
            <w:rPr>
              <w:rFonts w:asciiTheme="minorHAnsi" w:hAnsiTheme="minorHAnsi" w:eastAsiaTheme="minorEastAsia"/>
              <w:b w:val="0"/>
              <w:sz w:val="21"/>
            </w:rPr>
          </w:pPr>
          <w:r>
            <w:fldChar w:fldCharType="begin"/>
          </w:r>
          <w:r>
            <w:instrText xml:space="preserve"> HYPERLINK \l "_Toc118298117" </w:instrText>
          </w:r>
          <w:r>
            <w:fldChar w:fldCharType="separate"/>
          </w:r>
          <w:r>
            <w:rPr>
              <w:rStyle w:val="24"/>
            </w:rPr>
            <w:t>三、对标城市发展经验与启示</w:t>
          </w:r>
          <w:r>
            <w:tab/>
          </w:r>
          <w:r>
            <w:fldChar w:fldCharType="begin"/>
          </w:r>
          <w:r>
            <w:instrText xml:space="preserve"> PAGEREF _Toc118298117 \h </w:instrText>
          </w:r>
          <w:r>
            <w:fldChar w:fldCharType="separate"/>
          </w:r>
          <w:r>
            <w:t>- 12 -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"_Toc118298118" </w:instrText>
          </w:r>
          <w:r>
            <w:fldChar w:fldCharType="separate"/>
          </w:r>
          <w:r>
            <w:rPr>
              <w:rStyle w:val="24"/>
            </w:rPr>
            <w:t>（一）云南省</w:t>
          </w:r>
          <w:r>
            <w:tab/>
          </w:r>
          <w:r>
            <w:fldChar w:fldCharType="begin"/>
          </w:r>
          <w:r>
            <w:instrText xml:space="preserve"> PAGEREF _Toc118298118 \h </w:instrText>
          </w:r>
          <w:r>
            <w:fldChar w:fldCharType="separate"/>
          </w:r>
          <w:r>
            <w:t>- 12 -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"_Toc118298119" </w:instrText>
          </w:r>
          <w:r>
            <w:fldChar w:fldCharType="separate"/>
          </w:r>
          <w:r>
            <w:rPr>
              <w:rStyle w:val="24"/>
            </w:rPr>
            <w:t>（二）四川省</w:t>
          </w:r>
          <w:r>
            <w:tab/>
          </w:r>
          <w:r>
            <w:fldChar w:fldCharType="begin"/>
          </w:r>
          <w:r>
            <w:instrText xml:space="preserve"> PAGEREF _Toc118298119 \h </w:instrText>
          </w:r>
          <w:r>
            <w:fldChar w:fldCharType="separate"/>
          </w:r>
          <w:r>
            <w:t>- 14 -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"_Toc118298120" </w:instrText>
          </w:r>
          <w:r>
            <w:fldChar w:fldCharType="separate"/>
          </w:r>
          <w:r>
            <w:rPr>
              <w:rStyle w:val="24"/>
            </w:rPr>
            <w:t>（三）江西省</w:t>
          </w:r>
          <w:r>
            <w:tab/>
          </w:r>
          <w:r>
            <w:fldChar w:fldCharType="begin"/>
          </w:r>
          <w:r>
            <w:instrText xml:space="preserve"> PAGEREF _Toc118298120 \h </w:instrText>
          </w:r>
          <w:r>
            <w:fldChar w:fldCharType="separate"/>
          </w:r>
          <w:r>
            <w:t>- 16 -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"_Toc118298121" </w:instrText>
          </w:r>
          <w:r>
            <w:fldChar w:fldCharType="separate"/>
          </w:r>
          <w:r>
            <w:rPr>
              <w:rStyle w:val="24"/>
            </w:rPr>
            <w:t>（四）对贵州省新能源电池及材料产业发展的启示</w:t>
          </w:r>
          <w:r>
            <w:tab/>
          </w:r>
          <w:r>
            <w:fldChar w:fldCharType="begin"/>
          </w:r>
          <w:r>
            <w:instrText xml:space="preserve"> PAGEREF _Toc118298121 \h </w:instrText>
          </w:r>
          <w:r>
            <w:fldChar w:fldCharType="separate"/>
          </w:r>
          <w:r>
            <w:t>- 17 -</w:t>
          </w:r>
          <w:r>
            <w:fldChar w:fldCharType="end"/>
          </w:r>
          <w:r>
            <w:fldChar w:fldCharType="end"/>
          </w:r>
        </w:p>
        <w:p>
          <w:pPr>
            <w:pStyle w:val="16"/>
            <w:ind w:firstLine="482"/>
            <w:rPr>
              <w:rFonts w:asciiTheme="minorHAnsi" w:hAnsiTheme="minorHAnsi" w:eastAsiaTheme="minorEastAsia"/>
              <w:b w:val="0"/>
              <w:sz w:val="21"/>
            </w:rPr>
          </w:pPr>
          <w:r>
            <w:fldChar w:fldCharType="begin"/>
          </w:r>
          <w:r>
            <w:instrText xml:space="preserve"> HYPERLINK \l "_Toc118298122" </w:instrText>
          </w:r>
          <w:r>
            <w:fldChar w:fldCharType="separate"/>
          </w:r>
          <w:r>
            <w:rPr>
              <w:rStyle w:val="24"/>
            </w:rPr>
            <w:t>四、总体要求</w:t>
          </w:r>
          <w:r>
            <w:tab/>
          </w:r>
          <w:r>
            <w:fldChar w:fldCharType="begin"/>
          </w:r>
          <w:r>
            <w:instrText xml:space="preserve"> PAGEREF _Toc118298122 \h </w:instrText>
          </w:r>
          <w:r>
            <w:fldChar w:fldCharType="separate"/>
          </w:r>
          <w:r>
            <w:t>- 18 -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"_Toc118298123" </w:instrText>
          </w:r>
          <w:r>
            <w:fldChar w:fldCharType="separate"/>
          </w:r>
          <w:r>
            <w:rPr>
              <w:rStyle w:val="24"/>
            </w:rPr>
            <w:t>（一）指导思想</w:t>
          </w:r>
          <w:r>
            <w:tab/>
          </w:r>
          <w:r>
            <w:fldChar w:fldCharType="begin"/>
          </w:r>
          <w:r>
            <w:instrText xml:space="preserve"> PAGEREF _Toc118298123 \h </w:instrText>
          </w:r>
          <w:r>
            <w:fldChar w:fldCharType="separate"/>
          </w:r>
          <w:r>
            <w:t>- 18 -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"_Toc118298124" </w:instrText>
          </w:r>
          <w:r>
            <w:fldChar w:fldCharType="separate"/>
          </w:r>
          <w:r>
            <w:rPr>
              <w:rStyle w:val="24"/>
            </w:rPr>
            <w:t>（二）基本原则</w:t>
          </w:r>
          <w:r>
            <w:tab/>
          </w:r>
          <w:r>
            <w:fldChar w:fldCharType="begin"/>
          </w:r>
          <w:r>
            <w:instrText xml:space="preserve"> PAGEREF _Toc118298124 \h </w:instrText>
          </w:r>
          <w:r>
            <w:fldChar w:fldCharType="separate"/>
          </w:r>
          <w:r>
            <w:t>- 18 -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"_Toc118298125" </w:instrText>
          </w:r>
          <w:r>
            <w:fldChar w:fldCharType="separate"/>
          </w:r>
          <w:r>
            <w:rPr>
              <w:rStyle w:val="24"/>
            </w:rPr>
            <w:t>（三）发展目标</w:t>
          </w:r>
          <w:r>
            <w:tab/>
          </w:r>
          <w:r>
            <w:fldChar w:fldCharType="begin"/>
          </w:r>
          <w:r>
            <w:instrText xml:space="preserve"> PAGEREF _Toc118298125 \h </w:instrText>
          </w:r>
          <w:r>
            <w:fldChar w:fldCharType="separate"/>
          </w:r>
          <w:r>
            <w:t>- 19 -</w:t>
          </w:r>
          <w:r>
            <w:fldChar w:fldCharType="end"/>
          </w:r>
          <w:r>
            <w:fldChar w:fldCharType="end"/>
          </w:r>
        </w:p>
        <w:p>
          <w:pPr>
            <w:pStyle w:val="11"/>
            <w:tabs>
              <w:tab w:val="right" w:leader="dot" w:pos="8834"/>
            </w:tabs>
            <w:ind w:left="1120" w:firstLine="400"/>
            <w:rPr>
              <w:rFonts w:asciiTheme="minorHAnsi" w:hAnsiTheme="minorHAnsi" w:eastAsiaTheme="minorEastAsia"/>
              <w:sz w:val="21"/>
            </w:rPr>
          </w:pPr>
          <w:r>
            <w:fldChar w:fldCharType="begin"/>
          </w:r>
          <w:r>
            <w:instrText xml:space="preserve"> HYPERLINK \l "_Toc118298126" </w:instrText>
          </w:r>
          <w:r>
            <w:fldChar w:fldCharType="separate"/>
          </w:r>
          <w:r>
            <w:rPr>
              <w:rStyle w:val="24"/>
            </w:rPr>
            <w:t>1. 总体发展目标</w:t>
          </w:r>
          <w:r>
            <w:tab/>
          </w:r>
          <w:r>
            <w:fldChar w:fldCharType="begin"/>
          </w:r>
          <w:r>
            <w:instrText xml:space="preserve"> PAGEREF _Toc118298126 \h </w:instrText>
          </w:r>
          <w:r>
            <w:fldChar w:fldCharType="separate"/>
          </w:r>
          <w:r>
            <w:t>- 19 -</w:t>
          </w:r>
          <w:r>
            <w:fldChar w:fldCharType="end"/>
          </w:r>
          <w:r>
            <w:fldChar w:fldCharType="end"/>
          </w:r>
        </w:p>
        <w:p>
          <w:pPr>
            <w:pStyle w:val="11"/>
            <w:tabs>
              <w:tab w:val="right" w:leader="dot" w:pos="8834"/>
            </w:tabs>
            <w:ind w:left="1120" w:firstLine="400"/>
            <w:rPr>
              <w:rFonts w:asciiTheme="minorHAnsi" w:hAnsiTheme="minorHAnsi" w:eastAsiaTheme="minorEastAsia"/>
              <w:sz w:val="21"/>
            </w:rPr>
          </w:pPr>
          <w:r>
            <w:fldChar w:fldCharType="begin"/>
          </w:r>
          <w:r>
            <w:instrText xml:space="preserve"> HYPERLINK \l "_Toc118298127" </w:instrText>
          </w:r>
          <w:r>
            <w:fldChar w:fldCharType="separate"/>
          </w:r>
          <w:r>
            <w:rPr>
              <w:rStyle w:val="24"/>
            </w:rPr>
            <w:t>2. 分环节发展目标</w:t>
          </w:r>
          <w:r>
            <w:tab/>
          </w:r>
          <w:r>
            <w:fldChar w:fldCharType="begin"/>
          </w:r>
          <w:r>
            <w:instrText xml:space="preserve"> PAGEREF _Toc118298127 \h </w:instrText>
          </w:r>
          <w:r>
            <w:fldChar w:fldCharType="separate"/>
          </w:r>
          <w:r>
            <w:t>- 21 -</w:t>
          </w:r>
          <w:r>
            <w:fldChar w:fldCharType="end"/>
          </w:r>
          <w:r>
            <w:fldChar w:fldCharType="end"/>
          </w:r>
        </w:p>
        <w:p>
          <w:pPr>
            <w:pStyle w:val="11"/>
            <w:tabs>
              <w:tab w:val="right" w:leader="dot" w:pos="8834"/>
            </w:tabs>
            <w:ind w:left="1120" w:firstLine="400"/>
            <w:rPr>
              <w:rFonts w:asciiTheme="minorHAnsi" w:hAnsiTheme="minorHAnsi" w:eastAsiaTheme="minorEastAsia"/>
              <w:sz w:val="21"/>
            </w:rPr>
          </w:pPr>
          <w:r>
            <w:fldChar w:fldCharType="begin"/>
          </w:r>
          <w:r>
            <w:instrText xml:space="preserve"> HYPERLINK \l "_Toc118298128" </w:instrText>
          </w:r>
          <w:r>
            <w:fldChar w:fldCharType="separate"/>
          </w:r>
          <w:r>
            <w:rPr>
              <w:rStyle w:val="24"/>
            </w:rPr>
            <w:t>3. 分区域发展目标</w:t>
          </w:r>
          <w:r>
            <w:tab/>
          </w:r>
          <w:r>
            <w:fldChar w:fldCharType="begin"/>
          </w:r>
          <w:r>
            <w:instrText xml:space="preserve"> PAGEREF _Toc118298128 \h </w:instrText>
          </w:r>
          <w:r>
            <w:fldChar w:fldCharType="separate"/>
          </w:r>
          <w:r>
            <w:t>- 22 -</w:t>
          </w:r>
          <w:r>
            <w:fldChar w:fldCharType="end"/>
          </w:r>
          <w:r>
            <w:fldChar w:fldCharType="end"/>
          </w:r>
        </w:p>
        <w:p>
          <w:pPr>
            <w:pStyle w:val="16"/>
            <w:ind w:firstLine="482"/>
            <w:rPr>
              <w:rFonts w:asciiTheme="minorHAnsi" w:hAnsiTheme="minorHAnsi" w:eastAsiaTheme="minorEastAsia"/>
              <w:b w:val="0"/>
              <w:sz w:val="21"/>
            </w:rPr>
          </w:pPr>
          <w:r>
            <w:fldChar w:fldCharType="begin"/>
          </w:r>
          <w:r>
            <w:instrText xml:space="preserve"> HYPERLINK \l "_Toc118298129" </w:instrText>
          </w:r>
          <w:r>
            <w:fldChar w:fldCharType="separate"/>
          </w:r>
          <w:r>
            <w:rPr>
              <w:rStyle w:val="24"/>
            </w:rPr>
            <w:t>五、重点任务</w:t>
          </w:r>
          <w:r>
            <w:tab/>
          </w:r>
          <w:r>
            <w:fldChar w:fldCharType="begin"/>
          </w:r>
          <w:r>
            <w:instrText xml:space="preserve"> PAGEREF _Toc118298129 \h </w:instrText>
          </w:r>
          <w:r>
            <w:fldChar w:fldCharType="separate"/>
          </w:r>
          <w:r>
            <w:t>- 23 -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"_Toc118298130" </w:instrText>
          </w:r>
          <w:r>
            <w:fldChar w:fldCharType="separate"/>
          </w:r>
          <w:r>
            <w:rPr>
              <w:rStyle w:val="24"/>
            </w:rPr>
            <w:t>（一）重点提升新能源电池产业竞争力</w:t>
          </w:r>
          <w:r>
            <w:tab/>
          </w:r>
          <w:r>
            <w:fldChar w:fldCharType="begin"/>
          </w:r>
          <w:r>
            <w:instrText xml:space="preserve"> PAGEREF _Toc118298130 \h </w:instrText>
          </w:r>
          <w:r>
            <w:fldChar w:fldCharType="separate"/>
          </w:r>
          <w:r>
            <w:t>- 23 -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"_Toc118298131" </w:instrText>
          </w:r>
          <w:r>
            <w:fldChar w:fldCharType="separate"/>
          </w:r>
          <w:r>
            <w:rPr>
              <w:rStyle w:val="24"/>
            </w:rPr>
            <w:t>（二）重点完善上游电池材料产业链</w:t>
          </w:r>
          <w:r>
            <w:tab/>
          </w:r>
          <w:r>
            <w:fldChar w:fldCharType="begin"/>
          </w:r>
          <w:r>
            <w:instrText xml:space="preserve"> PAGEREF _Toc118298131 \h </w:instrText>
          </w:r>
          <w:r>
            <w:fldChar w:fldCharType="separate"/>
          </w:r>
          <w:r>
            <w:t>- 25 -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"_Toc118298132" </w:instrText>
          </w:r>
          <w:r>
            <w:fldChar w:fldCharType="separate"/>
          </w:r>
          <w:r>
            <w:rPr>
              <w:rStyle w:val="24"/>
            </w:rPr>
            <w:t>（三）多元发展新能源电池配套体系</w:t>
          </w:r>
          <w:r>
            <w:tab/>
          </w:r>
          <w:r>
            <w:fldChar w:fldCharType="begin"/>
          </w:r>
          <w:r>
            <w:instrText xml:space="preserve"> PAGEREF _Toc118298132 \h </w:instrText>
          </w:r>
          <w:r>
            <w:fldChar w:fldCharType="separate"/>
          </w:r>
          <w:r>
            <w:t>- 29 -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"_Toc118298133" </w:instrText>
          </w:r>
          <w:r>
            <w:fldChar w:fldCharType="separate"/>
          </w:r>
          <w:r>
            <w:rPr>
              <w:rStyle w:val="24"/>
            </w:rPr>
            <w:t>（四）加快打造电池回收产业新优势</w:t>
          </w:r>
          <w:r>
            <w:tab/>
          </w:r>
          <w:r>
            <w:fldChar w:fldCharType="begin"/>
          </w:r>
          <w:r>
            <w:instrText xml:space="preserve"> PAGEREF _Toc118298133 \h </w:instrText>
          </w:r>
          <w:r>
            <w:fldChar w:fldCharType="separate"/>
          </w:r>
          <w:r>
            <w:t>- 32 -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"_Toc118298134" </w:instrText>
          </w:r>
          <w:r>
            <w:fldChar w:fldCharType="separate"/>
          </w:r>
          <w:r>
            <w:rPr>
              <w:rStyle w:val="24"/>
            </w:rPr>
            <w:t>（五）科学推进绿色低碳与智能制造</w:t>
          </w:r>
          <w:r>
            <w:tab/>
          </w:r>
          <w:r>
            <w:fldChar w:fldCharType="begin"/>
          </w:r>
          <w:r>
            <w:instrText xml:space="preserve"> PAGEREF _Toc118298134 \h </w:instrText>
          </w:r>
          <w:r>
            <w:fldChar w:fldCharType="separate"/>
          </w:r>
          <w:r>
            <w:t>- 34 -</w:t>
          </w:r>
          <w:r>
            <w:fldChar w:fldCharType="end"/>
          </w:r>
          <w:r>
            <w:fldChar w:fldCharType="end"/>
          </w:r>
        </w:p>
        <w:p>
          <w:pPr>
            <w:pStyle w:val="16"/>
            <w:ind w:firstLine="482"/>
            <w:rPr>
              <w:rFonts w:asciiTheme="minorHAnsi" w:hAnsiTheme="minorHAnsi" w:eastAsiaTheme="minorEastAsia"/>
              <w:b w:val="0"/>
              <w:sz w:val="21"/>
            </w:rPr>
          </w:pPr>
          <w:r>
            <w:fldChar w:fldCharType="begin"/>
          </w:r>
          <w:r>
            <w:instrText xml:space="preserve"> HYPERLINK \l "_Toc118298135" </w:instrText>
          </w:r>
          <w:r>
            <w:fldChar w:fldCharType="separate"/>
          </w:r>
          <w:r>
            <w:rPr>
              <w:rStyle w:val="24"/>
            </w:rPr>
            <w:t>六、实施路径</w:t>
          </w:r>
          <w:r>
            <w:tab/>
          </w:r>
          <w:r>
            <w:fldChar w:fldCharType="begin"/>
          </w:r>
          <w:r>
            <w:instrText xml:space="preserve"> PAGEREF _Toc118298135 \h </w:instrText>
          </w:r>
          <w:r>
            <w:fldChar w:fldCharType="separate"/>
          </w:r>
          <w:r>
            <w:t>- 39 -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"_Toc118298136" </w:instrText>
          </w:r>
          <w:r>
            <w:fldChar w:fldCharType="separate"/>
          </w:r>
          <w:r>
            <w:rPr>
              <w:rStyle w:val="24"/>
            </w:rPr>
            <w:t>（一）优化产业空间布局</w:t>
          </w:r>
          <w:r>
            <w:tab/>
          </w:r>
          <w:r>
            <w:fldChar w:fldCharType="begin"/>
          </w:r>
          <w:r>
            <w:instrText xml:space="preserve"> PAGEREF _Toc118298136 \h </w:instrText>
          </w:r>
          <w:r>
            <w:fldChar w:fldCharType="separate"/>
          </w:r>
          <w:r>
            <w:t>- 39 -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"_Toc118298137" </w:instrText>
          </w:r>
          <w:r>
            <w:fldChar w:fldCharType="separate"/>
          </w:r>
          <w:r>
            <w:rPr>
              <w:rStyle w:val="24"/>
            </w:rPr>
            <w:t>（二）支持重点企业发展</w:t>
          </w:r>
          <w:r>
            <w:tab/>
          </w:r>
          <w:r>
            <w:fldChar w:fldCharType="begin"/>
          </w:r>
          <w:r>
            <w:instrText xml:space="preserve"> PAGEREF _Toc118298137 \h </w:instrText>
          </w:r>
          <w:r>
            <w:fldChar w:fldCharType="separate"/>
          </w:r>
          <w:r>
            <w:t>- 42 -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"_Toc118298138" </w:instrText>
          </w:r>
          <w:r>
            <w:fldChar w:fldCharType="separate"/>
          </w:r>
          <w:r>
            <w:rPr>
              <w:rStyle w:val="24"/>
            </w:rPr>
            <w:t>（三）加快重大项目落地</w:t>
          </w:r>
          <w:r>
            <w:tab/>
          </w:r>
          <w:r>
            <w:fldChar w:fldCharType="begin"/>
          </w:r>
          <w:r>
            <w:instrText xml:space="preserve"> PAGEREF _Toc118298138 \h </w:instrText>
          </w:r>
          <w:r>
            <w:fldChar w:fldCharType="separate"/>
          </w:r>
          <w:r>
            <w:t>- 42 -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"_Toc118298139" </w:instrText>
          </w:r>
          <w:r>
            <w:fldChar w:fldCharType="separate"/>
          </w:r>
          <w:r>
            <w:rPr>
              <w:rStyle w:val="24"/>
            </w:rPr>
            <w:t>（四）改善下游应用环境</w:t>
          </w:r>
          <w:r>
            <w:tab/>
          </w:r>
          <w:r>
            <w:fldChar w:fldCharType="begin"/>
          </w:r>
          <w:r>
            <w:instrText xml:space="preserve"> PAGEREF _Toc118298139 \h </w:instrText>
          </w:r>
          <w:r>
            <w:fldChar w:fldCharType="separate"/>
          </w:r>
          <w:r>
            <w:t>- 43 -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"_Toc118298140" </w:instrText>
          </w:r>
          <w:r>
            <w:fldChar w:fldCharType="separate"/>
          </w:r>
          <w:r>
            <w:rPr>
              <w:rStyle w:val="24"/>
            </w:rPr>
            <w:t>（五）构建产业创新体系</w:t>
          </w:r>
          <w:r>
            <w:tab/>
          </w:r>
          <w:r>
            <w:fldChar w:fldCharType="begin"/>
          </w:r>
          <w:r>
            <w:instrText xml:space="preserve"> PAGEREF _Toc118298140 \h </w:instrText>
          </w:r>
          <w:r>
            <w:fldChar w:fldCharType="separate"/>
          </w:r>
          <w:r>
            <w:t>- 44 -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"_Toc118298141" </w:instrText>
          </w:r>
          <w:r>
            <w:fldChar w:fldCharType="separate"/>
          </w:r>
          <w:r>
            <w:rPr>
              <w:rStyle w:val="24"/>
            </w:rPr>
            <w:t>（六）打造良好营商环境</w:t>
          </w:r>
          <w:r>
            <w:tab/>
          </w:r>
          <w:r>
            <w:fldChar w:fldCharType="begin"/>
          </w:r>
          <w:r>
            <w:instrText xml:space="preserve"> PAGEREF _Toc118298141 \h </w:instrText>
          </w:r>
          <w:r>
            <w:fldChar w:fldCharType="separate"/>
          </w:r>
          <w:r>
            <w:t>- 46 -</w:t>
          </w:r>
          <w:r>
            <w:fldChar w:fldCharType="end"/>
          </w:r>
          <w:r>
            <w:fldChar w:fldCharType="end"/>
          </w:r>
        </w:p>
        <w:p>
          <w:pPr>
            <w:pStyle w:val="16"/>
            <w:ind w:firstLine="482"/>
            <w:rPr>
              <w:rFonts w:asciiTheme="minorHAnsi" w:hAnsiTheme="minorHAnsi" w:eastAsiaTheme="minorEastAsia"/>
              <w:b w:val="0"/>
              <w:sz w:val="21"/>
            </w:rPr>
          </w:pPr>
          <w:r>
            <w:fldChar w:fldCharType="begin"/>
          </w:r>
          <w:r>
            <w:instrText xml:space="preserve"> HYPERLINK \l "_Toc118298142" </w:instrText>
          </w:r>
          <w:r>
            <w:fldChar w:fldCharType="separate"/>
          </w:r>
          <w:r>
            <w:rPr>
              <w:rStyle w:val="24"/>
            </w:rPr>
            <w:t>七、保障措施</w:t>
          </w:r>
          <w:r>
            <w:tab/>
          </w:r>
          <w:r>
            <w:fldChar w:fldCharType="begin"/>
          </w:r>
          <w:r>
            <w:instrText xml:space="preserve"> PAGEREF _Toc118298142 \h </w:instrText>
          </w:r>
          <w:r>
            <w:fldChar w:fldCharType="separate"/>
          </w:r>
          <w:r>
            <w:t>- 48 -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"_Toc118298143" </w:instrText>
          </w:r>
          <w:r>
            <w:fldChar w:fldCharType="separate"/>
          </w:r>
          <w:r>
            <w:rPr>
              <w:rStyle w:val="24"/>
            </w:rPr>
            <w:t>（一）组织领导</w:t>
          </w:r>
          <w:r>
            <w:tab/>
          </w:r>
          <w:r>
            <w:fldChar w:fldCharType="begin"/>
          </w:r>
          <w:r>
            <w:instrText xml:space="preserve"> PAGEREF _Toc118298143 \h </w:instrText>
          </w:r>
          <w:r>
            <w:fldChar w:fldCharType="separate"/>
          </w:r>
          <w:r>
            <w:t>- 48 -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"_Toc118298144" </w:instrText>
          </w:r>
          <w:r>
            <w:fldChar w:fldCharType="separate"/>
          </w:r>
          <w:r>
            <w:rPr>
              <w:rStyle w:val="24"/>
            </w:rPr>
            <w:t>（二）要素保障</w:t>
          </w:r>
          <w:r>
            <w:tab/>
          </w:r>
          <w:r>
            <w:fldChar w:fldCharType="begin"/>
          </w:r>
          <w:r>
            <w:instrText xml:space="preserve"> PAGEREF _Toc118298144 \h </w:instrText>
          </w:r>
          <w:r>
            <w:fldChar w:fldCharType="separate"/>
          </w:r>
          <w:r>
            <w:t>- 48 -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"_Toc118298145" </w:instrText>
          </w:r>
          <w:r>
            <w:fldChar w:fldCharType="separate"/>
          </w:r>
          <w:r>
            <w:rPr>
              <w:rStyle w:val="24"/>
            </w:rPr>
            <w:t>（三）统筹规划</w:t>
          </w:r>
          <w:r>
            <w:tab/>
          </w:r>
          <w:r>
            <w:fldChar w:fldCharType="begin"/>
          </w:r>
          <w:r>
            <w:instrText xml:space="preserve"> PAGEREF _Toc118298145 \h </w:instrText>
          </w:r>
          <w:r>
            <w:fldChar w:fldCharType="separate"/>
          </w:r>
          <w:r>
            <w:t>- 48 -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"_Toc118298146" </w:instrText>
          </w:r>
          <w:r>
            <w:fldChar w:fldCharType="separate"/>
          </w:r>
          <w:r>
            <w:rPr>
              <w:rStyle w:val="24"/>
            </w:rPr>
            <w:t>（四）宣传引导</w:t>
          </w:r>
          <w:r>
            <w:tab/>
          </w:r>
          <w:r>
            <w:fldChar w:fldCharType="begin"/>
          </w:r>
          <w:r>
            <w:instrText xml:space="preserve"> PAGEREF _Toc118298146 \h </w:instrText>
          </w:r>
          <w:r>
            <w:fldChar w:fldCharType="separate"/>
          </w:r>
          <w:r>
            <w:t>- 49 -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"_Toc118298147" </w:instrText>
          </w:r>
          <w:r>
            <w:fldChar w:fldCharType="separate"/>
          </w:r>
          <w:r>
            <w:rPr>
              <w:rStyle w:val="24"/>
            </w:rPr>
            <w:t>（五）产融结合</w:t>
          </w:r>
          <w:r>
            <w:tab/>
          </w:r>
          <w:r>
            <w:fldChar w:fldCharType="begin"/>
          </w:r>
          <w:r>
            <w:instrText xml:space="preserve"> PAGEREF _Toc118298147 \h </w:instrText>
          </w:r>
          <w:r>
            <w:fldChar w:fldCharType="separate"/>
          </w:r>
          <w:r>
            <w:t>- 49 -</w:t>
          </w:r>
          <w:r>
            <w:fldChar w:fldCharType="end"/>
          </w:r>
          <w:r>
            <w:fldChar w:fldCharType="end"/>
          </w:r>
        </w:p>
        <w:p>
          <w:pPr>
            <w:pStyle w:val="18"/>
            <w:tabs>
              <w:tab w:val="right" w:leader="dot" w:pos="8834"/>
            </w:tabs>
            <w:ind w:left="560" w:firstLine="440"/>
            <w:rPr>
              <w:rFonts w:asciiTheme="minorHAnsi" w:hAnsiTheme="minorHAnsi" w:eastAsiaTheme="minorEastAsia"/>
              <w:sz w:val="21"/>
            </w:rPr>
          </w:pPr>
          <w:r>
            <w:fldChar w:fldCharType="begin"/>
          </w:r>
          <w:r>
            <w:instrText xml:space="preserve"> HYPERLINK \l "_Toc118298148" </w:instrText>
          </w:r>
          <w:r>
            <w:fldChar w:fldCharType="separate"/>
          </w:r>
          <w:r>
            <w:rPr>
              <w:rStyle w:val="24"/>
            </w:rPr>
            <w:t>（六）政策创新</w:t>
          </w:r>
          <w:r>
            <w:tab/>
          </w:r>
          <w:r>
            <w:fldChar w:fldCharType="begin"/>
          </w:r>
          <w:r>
            <w:instrText xml:space="preserve"> PAGEREF _Toc118298148 \h </w:instrText>
          </w:r>
          <w:r>
            <w:fldChar w:fldCharType="separate"/>
          </w:r>
          <w:r>
            <w:t>- 49 -</w:t>
          </w:r>
          <w:r>
            <w:fldChar w:fldCharType="end"/>
          </w:r>
          <w:r>
            <w:fldChar w:fldCharType="end"/>
          </w:r>
        </w:p>
        <w:p>
          <w:pPr>
            <w:pStyle w:val="16"/>
            <w:ind w:firstLine="482"/>
            <w:rPr>
              <w:rFonts w:asciiTheme="minorHAnsi" w:hAnsiTheme="minorHAnsi" w:eastAsiaTheme="minorEastAsia"/>
              <w:b w:val="0"/>
              <w:sz w:val="21"/>
            </w:rPr>
          </w:pPr>
          <w:r>
            <w:fldChar w:fldCharType="begin"/>
          </w:r>
          <w:r>
            <w:instrText xml:space="preserve"> HYPERLINK \l "_Toc118298149" </w:instrText>
          </w:r>
          <w:r>
            <w:fldChar w:fldCharType="separate"/>
          </w:r>
          <w:r>
            <w:rPr>
              <w:rStyle w:val="24"/>
            </w:rPr>
            <w:t>附件：新能源电池及材料研发生产基地重大项目规划（2022-2030年）</w:t>
          </w:r>
          <w:r>
            <w:tab/>
          </w:r>
          <w:r>
            <w:fldChar w:fldCharType="begin"/>
          </w:r>
          <w:r>
            <w:instrText xml:space="preserve"> PAGEREF _Toc118298149 \h </w:instrText>
          </w:r>
          <w:r>
            <w:fldChar w:fldCharType="separate"/>
          </w:r>
          <w:r>
            <w:t>- 51 -</w:t>
          </w:r>
          <w:r>
            <w:fldChar w:fldCharType="end"/>
          </w:r>
          <w:r>
            <w:fldChar w:fldCharType="end"/>
          </w:r>
        </w:p>
        <w:p>
          <w:pPr>
            <w:pStyle w:val="16"/>
          </w:pPr>
          <w:r>
            <w:rPr>
              <w:b w:val="0"/>
            </w:rPr>
            <w:fldChar w:fldCharType="end"/>
          </w:r>
        </w:p>
      </w:sdtContent>
    </w:sdt>
    <w:p>
      <w:pPr>
        <w:ind w:firstLine="883"/>
        <w:jc w:val="center"/>
        <w:rPr>
          <w:rFonts w:hAnsi="仿宋" w:cs="Times New Roman"/>
          <w:b/>
          <w:sz w:val="44"/>
          <w:szCs w:val="52"/>
        </w:rPr>
        <w:sectPr>
          <w:footerReference r:id="rId13" w:type="default"/>
          <w:pgSz w:w="11906" w:h="16838"/>
          <w:pgMar w:top="1418" w:right="1531" w:bottom="1985" w:left="1531" w:header="851" w:footer="992" w:gutter="0"/>
          <w:pgNumType w:fmt="numberInDash" w:start="1"/>
          <w:cols w:space="425" w:num="1"/>
          <w:docGrid w:type="lines" w:linePitch="312" w:charSpace="0"/>
        </w:sectPr>
      </w:pPr>
    </w:p>
    <w:p>
      <w:pPr>
        <w:pStyle w:val="3"/>
      </w:pPr>
      <w:bookmarkStart w:id="20" w:name="_Toc118298100"/>
      <w:r>
        <w:rPr>
          <w:rFonts w:hint="eastAsia"/>
        </w:rPr>
        <w:t>一、新能源电池及材料产业发展背景与环境</w:t>
      </w:r>
      <w:bookmarkEnd w:id="20"/>
    </w:p>
    <w:p>
      <w:pPr>
        <w:pStyle w:val="4"/>
        <w:ind w:left="412"/>
      </w:pPr>
      <w:bookmarkStart w:id="21" w:name="_Toc118298101"/>
      <w:r>
        <w:rPr>
          <w:rFonts w:hint="eastAsia"/>
        </w:rPr>
        <w:t>（一）产业政策环境分析</w:t>
      </w:r>
      <w:bookmarkEnd w:id="21"/>
    </w:p>
    <w:p>
      <w:pPr>
        <w:pStyle w:val="5"/>
        <w:ind w:firstLine="562"/>
      </w:pPr>
      <w:bookmarkStart w:id="22" w:name="_Toc118298102"/>
      <w:r>
        <w:rPr>
          <w:rFonts w:hint="eastAsia"/>
        </w:rPr>
        <w:t>1</w:t>
      </w:r>
      <w:r>
        <w:t xml:space="preserve">. </w:t>
      </w:r>
      <w:r>
        <w:rPr>
          <w:rFonts w:hint="eastAsia"/>
        </w:rPr>
        <w:t>全球能源结构低碳化转型加速推进</w:t>
      </w:r>
      <w:bookmarkEnd w:id="22"/>
    </w:p>
    <w:p>
      <w:pPr>
        <w:ind w:firstLine="560"/>
      </w:pPr>
      <w:r>
        <w:rPr>
          <w:rFonts w:hint="eastAsia"/>
        </w:rPr>
        <w:t>本世纪以来，全球能源结构加快调整，全球应对气候变化开启新征程。《巴黎协定》得到国际社会广泛支持和参与，近五年来可再生能源提供了全球新增发电量的约60%。中国、欧盟、美国、日本等130多个国家和地区提出了碳中和目标，世界主要经济体积极推动经济绿色复苏，绿色产业已成为重要投资领域，清洁低碳能源发展迎来新机遇。从新能源电池及材料产业来看，在应对全球气候变化背景下，全球主要国家和地区将发展新能源汽车、储能及其相关的新能源电池及材料产业提升到国家战略高度，从顶层设计、战略规划、标准法规等多方面深入推进能源结构的全面转型，实现新能源电池及材料产业的绿色发展。</w:t>
      </w:r>
    </w:p>
    <w:p>
      <w:pPr>
        <w:pStyle w:val="5"/>
        <w:ind w:firstLine="562"/>
      </w:pPr>
      <w:bookmarkStart w:id="23" w:name="_Toc118298103"/>
      <w:r>
        <w:rPr>
          <w:rFonts w:hint="eastAsia"/>
        </w:rPr>
        <w:t>2</w:t>
      </w:r>
      <w:r>
        <w:t xml:space="preserve">. </w:t>
      </w:r>
      <w:r>
        <w:rPr>
          <w:rFonts w:hint="eastAsia"/>
        </w:rPr>
        <w:t>中国新能源电池及材料体系日益完善</w:t>
      </w:r>
      <w:bookmarkEnd w:id="23"/>
    </w:p>
    <w:p>
      <w:pPr>
        <w:ind w:firstLine="560"/>
      </w:pPr>
      <w:r>
        <w:rPr>
          <w:rFonts w:hint="eastAsia"/>
        </w:rPr>
        <w:t>2</w:t>
      </w:r>
      <w:r>
        <w:t>009</w:t>
      </w:r>
      <w:r>
        <w:rPr>
          <w:rFonts w:hint="eastAsia"/>
        </w:rPr>
        <w:t>年以来，我国将新能源汽车产业发展提升至国家战略高度，财政部、科技部、工信部、发改委陆续发布文件推动节能与新能源汽车及其上游产业发展，出台包括《新能源汽车补贴标准》、《乘用车企业平均燃料消耗量与新能源汽车积分并行管理办法》等各类补贴政策，《新能源汽车产业发展规划（2021—2035年）》、《关于加快推动新型储能发展的指导意见》等规划政策文件，以及提出“碳达峰”、“碳中和”发展目标等。对新能源电池及材料产业的高质量发展以及整体技术水平提升进行规范引导，极大地优化了产业市场环境，逐渐形成了较为完善并具有一定优势的产业体系。</w:t>
      </w:r>
    </w:p>
    <w:p>
      <w:pPr>
        <w:pStyle w:val="5"/>
        <w:ind w:firstLine="562"/>
      </w:pPr>
      <w:bookmarkStart w:id="24" w:name="_Toc118298104"/>
      <w:r>
        <w:t xml:space="preserve">3. </w:t>
      </w:r>
      <w:r>
        <w:rPr>
          <w:rFonts w:hint="eastAsia"/>
        </w:rPr>
        <w:t>新能源汽车市场化驱动产业高速发展</w:t>
      </w:r>
      <w:bookmarkEnd w:id="24"/>
    </w:p>
    <w:p>
      <w:pPr>
        <w:ind w:firstLine="560"/>
      </w:pPr>
      <w:r>
        <w:rPr>
          <w:rFonts w:hint="eastAsia"/>
        </w:rPr>
        <w:t>新能源汽车补贴是推动我国新能源汽车产业快速发展的重要举措。自2009年对公共领域以及2013年对私人领域新能源汽车消费进行大力补贴以来，我国新能源汽车行业迎来快速成长期，产销量连续7年均居世界首位。随着消费者对新能源汽车的认知度和接受度进一步提高，补贴退坡影响日益减弱，2022年以来我国新能源新车渗透率提升至20%以上，新能源汽车产业已进入全面市场化拓展期。未来在“双碳政策+市场”双驱动下，将持续带动我国新能源电池及材料产业步入发展新阶段。</w:t>
      </w:r>
    </w:p>
    <w:p>
      <w:pPr>
        <w:pStyle w:val="4"/>
        <w:ind w:left="412"/>
      </w:pPr>
      <w:bookmarkStart w:id="25" w:name="_Toc118298105"/>
      <w:r>
        <w:rPr>
          <w:rFonts w:hint="eastAsia"/>
        </w:rPr>
        <w:t>（二）产业发展特点分析</w:t>
      </w:r>
      <w:bookmarkEnd w:id="25"/>
    </w:p>
    <w:p>
      <w:pPr>
        <w:pStyle w:val="5"/>
        <w:ind w:firstLine="562"/>
      </w:pPr>
      <w:bookmarkStart w:id="26" w:name="_Toc118298106"/>
      <w:r>
        <w:rPr>
          <w:rFonts w:hint="eastAsia"/>
        </w:rPr>
        <w:t>1</w:t>
      </w:r>
      <w:r>
        <w:t xml:space="preserve">. </w:t>
      </w:r>
      <w:r>
        <w:rPr>
          <w:rFonts w:hint="eastAsia"/>
        </w:rPr>
        <w:t>下游需求快速增长，上游产能结构性过剩</w:t>
      </w:r>
      <w:bookmarkEnd w:id="26"/>
    </w:p>
    <w:p>
      <w:pPr>
        <w:ind w:firstLine="562"/>
      </w:pPr>
      <w:r>
        <w:rPr>
          <w:rFonts w:hint="eastAsia"/>
          <w:b/>
          <w:bCs/>
        </w:rPr>
        <w:t>新能源汽车及储能需求快速增长。</w:t>
      </w:r>
      <w:r>
        <w:rPr>
          <w:rFonts w:hint="eastAsia"/>
        </w:rPr>
        <w:t>2021年，全球经济逐渐从疫情中复苏，市场需求回暖，全球新能源汽车销量达到670万辆，同比超预期增长102.4%。全球已投运新型储能累计装机25.4GW，同比增长67.7%，其中锂离子电池市场份额超过90%，储能市场进入规模化发展阶段。此外，电动工具、吸尘器、无人机、TWS耳机等多领域需求有序增长，大幅拉升了锂电池总体需求量。2021年，中国锂电池出货量达到334.2GWh，同比增长110.9%，同步带动上游材料产业实现翻倍增长。</w:t>
      </w:r>
    </w:p>
    <w:p>
      <w:pPr>
        <w:ind w:firstLine="562"/>
      </w:pPr>
      <w:r>
        <w:rPr>
          <w:rFonts w:hint="eastAsia"/>
          <w:b/>
          <w:bCs/>
        </w:rPr>
        <w:t>新能源电池产能出现结构性过剩。</w:t>
      </w:r>
      <w:r>
        <w:rPr>
          <w:rFonts w:hint="eastAsia"/>
        </w:rPr>
        <w:t>2021年以来全球锂电池市场需求提升明显，带动主流电池企业加快产能布局。据不完全统计，截至2</w:t>
      </w:r>
      <w:r>
        <w:t>022</w:t>
      </w:r>
      <w:r>
        <w:rPr>
          <w:rFonts w:hint="eastAsia"/>
        </w:rPr>
        <w:t>年上半年，中国主要动力电池企业合计产能超过8</w:t>
      </w:r>
      <w:r>
        <w:t>00</w:t>
      </w:r>
      <w:r>
        <w:rPr>
          <w:rFonts w:hint="eastAsia"/>
        </w:rPr>
        <w:t>GWh，规划产能已超过3.5TWh，且龙头企业和新进入企业仍在加大产能布局。未来新能源电池产业可能出现结构性产能过剩，部分产能面临淘汰风险。</w:t>
      </w:r>
    </w:p>
    <w:p>
      <w:pPr>
        <w:ind w:firstLine="562"/>
        <w:rPr>
          <w:b/>
          <w:bCs/>
        </w:rPr>
      </w:pPr>
      <w:r>
        <w:rPr>
          <w:rFonts w:hint="eastAsia"/>
          <w:b/>
          <w:bCs/>
        </w:rPr>
        <w:t>新能源电池材料呈现短时供需失衡。</w:t>
      </w:r>
      <w:r>
        <w:t>2021</w:t>
      </w:r>
      <w:r>
        <w:rPr>
          <w:rFonts w:hint="eastAsia"/>
        </w:rPr>
        <w:t>年以来，新能源汽车和储能等下游市场快速增长，上游电池材料尤其是锂资源的需求快速增加，碳酸锂价格大幅上涨，导致正极材料、六氟磷酸锂等价格上涨，对新能源电池的材料成本形成较大压力。新能源电池材料的供需短时失衡，截至2</w:t>
      </w:r>
      <w:r>
        <w:t>022</w:t>
      </w:r>
      <w:r>
        <w:rPr>
          <w:rFonts w:hint="eastAsia"/>
        </w:rPr>
        <w:t>年下半年，电池材料价格已逐渐回归理性，行业内供需失衡的现象将逐渐改善。</w:t>
      </w:r>
    </w:p>
    <w:p>
      <w:pPr>
        <w:pStyle w:val="5"/>
        <w:ind w:firstLine="562"/>
      </w:pPr>
      <w:bookmarkStart w:id="27" w:name="_Toc118298107"/>
      <w:r>
        <w:rPr>
          <w:rFonts w:hint="eastAsia"/>
        </w:rPr>
        <w:t>2</w:t>
      </w:r>
      <w:r>
        <w:t xml:space="preserve">. </w:t>
      </w:r>
      <w:r>
        <w:rPr>
          <w:rFonts w:hint="eastAsia"/>
        </w:rPr>
        <w:t>全球产业高速发展，企业竞争呈现新格局</w:t>
      </w:r>
      <w:bookmarkEnd w:id="27"/>
    </w:p>
    <w:p>
      <w:pPr>
        <w:ind w:firstLine="562"/>
      </w:pPr>
      <w:r>
        <w:rPr>
          <w:rFonts w:hint="eastAsia"/>
          <w:b/>
          <w:bCs/>
        </w:rPr>
        <w:t>欧美重视程度提升，全球竞争呈现新局面。</w:t>
      </w:r>
      <w:r>
        <w:rPr>
          <w:rFonts w:hint="eastAsia"/>
        </w:rPr>
        <w:t>长期以来，全球新能源电池及材料产业主要集中在中、日、韩三国，受益于中国新能源汽车市场需求和产能规模优势，2021年中国新能源电池出货量占比提升至59.4%，韩、日分别降至30.2%和9.7%</w:t>
      </w:r>
      <w:r>
        <w:rPr>
          <w:rStyle w:val="26"/>
          <w:rFonts w:hint="eastAsia"/>
        </w:rPr>
        <w:footnoteReference w:id="0"/>
      </w:r>
      <w:r>
        <w:rPr>
          <w:rFonts w:hint="eastAsia"/>
        </w:rPr>
        <w:t>。而近年来欧美各国对新能源汽车、新能源电池及材料产业的重视程度不断提升，密集出台多项政策，以“车企+动力电池联合建厂”、出台《通胀消减法案》等方式培育完善本地区供应体系。随着欧美市场新能源政策加码，未来全球新能源电池及材料市场竞争有望呈现新格局。</w:t>
      </w:r>
    </w:p>
    <w:p>
      <w:pPr>
        <w:ind w:firstLine="562"/>
      </w:pPr>
      <w:r>
        <w:rPr>
          <w:rFonts w:hint="eastAsia"/>
          <w:b/>
          <w:bCs/>
        </w:rPr>
        <w:t>国内资本加码入局，产业竞争持续加剧。</w:t>
      </w:r>
      <w:r>
        <w:rPr>
          <w:rFonts w:hint="eastAsia"/>
        </w:rPr>
        <w:t>在政策刺激和市场需求推动下，新能源电池及材料产业持续景气，政府主体、企业和资本不断涌入，市场竞争持续加剧。资本和政府层面，2021年以来电池上游原材料企业纷纷上市，开拓融资渠道扩大投资规模；而包括福建宁德，四川宜宾、遂宁，江苏常州、贵州贵阳等地纷纷将新能源电池产业作为重点发展的头号产业，通过政策、资源等优势抢占上中下游企业。企业层面，产业链相关企业相继扩产，传统制造业纷纷转型，推动新能源电池及材料产业蓬勃发展，整体市场竞争更加激烈。</w:t>
      </w:r>
    </w:p>
    <w:p>
      <w:pPr>
        <w:pStyle w:val="5"/>
        <w:ind w:firstLine="562"/>
      </w:pPr>
      <w:bookmarkStart w:id="28" w:name="_Toc118298108"/>
      <w:r>
        <w:rPr>
          <w:rFonts w:hint="eastAsia"/>
        </w:rPr>
        <w:t>3</w:t>
      </w:r>
      <w:r>
        <w:t xml:space="preserve">. </w:t>
      </w:r>
      <w:r>
        <w:rPr>
          <w:rFonts w:hint="eastAsia"/>
        </w:rPr>
        <w:t>依托资源成本优势，产业加速中西部转移</w:t>
      </w:r>
      <w:bookmarkEnd w:id="28"/>
    </w:p>
    <w:p>
      <w:pPr>
        <w:ind w:firstLine="562"/>
      </w:pPr>
      <w:r>
        <w:rPr>
          <w:rFonts w:hint="eastAsia"/>
          <w:b/>
          <w:bCs/>
        </w:rPr>
        <w:t>中西部依托资源优势，加快承接产业转移。</w:t>
      </w:r>
      <w:r>
        <w:rPr>
          <w:rFonts w:hint="eastAsia"/>
        </w:rPr>
        <w:t>近年来由于电力、人力、运输成本及原材料价格上涨，新能源电池及材料产业逐渐向中西部扩展，这些地区依托锂资源及要素成本优势，加快承接东部地区产业转移。其中，青海和宜春依托锂资源、贵州依托磷、锰资源优势，吸引大量新能源电池及材料企业入驻；重庆依托发达的汽车工业，吸引了比亚迪等项目落地；宜宾通过引进宁德时代，快速完善产业链布局；遂宁依托全球碳酸锂龙头天齐锂业，打造锂电材料产业集群。未来中西部地区凭借自身资源和成本优势，有望成为中国新能源电池和材料产业的重要增长极。</w:t>
      </w:r>
    </w:p>
    <w:p>
      <w:pPr>
        <w:pStyle w:val="4"/>
        <w:ind w:left="412"/>
      </w:pPr>
      <w:bookmarkStart w:id="29" w:name="_Toc118298109"/>
      <w:r>
        <w:rPr>
          <w:rFonts w:hint="eastAsia"/>
        </w:rPr>
        <w:t>（三）技术发展趋势分析</w:t>
      </w:r>
      <w:bookmarkEnd w:id="29"/>
    </w:p>
    <w:p>
      <w:pPr>
        <w:pStyle w:val="5"/>
        <w:ind w:firstLine="562"/>
      </w:pPr>
      <w:bookmarkStart w:id="30" w:name="_Toc118298110"/>
      <w:r>
        <w:t>1</w:t>
      </w:r>
      <w:r>
        <w:rPr>
          <w:rFonts w:hint="eastAsia"/>
        </w:rPr>
        <w:t>.</w:t>
      </w:r>
      <w:r>
        <w:t xml:space="preserve"> </w:t>
      </w:r>
      <w:r>
        <w:rPr>
          <w:rFonts w:hint="eastAsia"/>
        </w:rPr>
        <w:t>三元与磷酸铁锂两种技术将长期共存</w:t>
      </w:r>
      <w:bookmarkEnd w:id="30"/>
    </w:p>
    <w:p>
      <w:pPr>
        <w:ind w:firstLine="560"/>
      </w:pPr>
      <w:r>
        <w:rPr>
          <w:rFonts w:hint="eastAsia"/>
        </w:rPr>
        <w:t>新能源汽车补贴退坡和上游原材料成本大幅上涨，带动成本更低的磷酸铁锂电池装机量快速提升，2021年全年其装机量占比超过50%，2022年至今装机量占比已超过60%。磷酸铁锂电池凭借成本和安全性优势，预计未来2-3年内仍将保持较高的装机占比。而三元材料体系具备更高的能量密度优势，未来逐步向高镍低钴/硅碳体系发展，主要面向中高端市场。未来，在未有新体系电池产业化之前，三元和磷酸铁锂两种技术路线动力电池仍将具备较好发展空间，二者将长期共存，其中在安全性和价格敏感区间磷酸铁锂电池将有较好市场前景，而在追求高性能和舒适性市场全球范围内高镍三元电池仍是主要选择对象。</w:t>
      </w:r>
    </w:p>
    <w:p>
      <w:pPr>
        <w:pStyle w:val="5"/>
        <w:ind w:firstLine="562"/>
      </w:pPr>
      <w:bookmarkStart w:id="31" w:name="_Toc118298111"/>
      <w:r>
        <w:t xml:space="preserve">2. </w:t>
      </w:r>
      <w:r>
        <w:rPr>
          <w:rFonts w:hint="eastAsia"/>
        </w:rPr>
        <w:t>新电池技术层出不穷，逐步实现产业化</w:t>
      </w:r>
      <w:bookmarkEnd w:id="31"/>
    </w:p>
    <w:p>
      <w:pPr>
        <w:ind w:firstLine="560"/>
      </w:pPr>
      <w:r>
        <w:rPr>
          <w:rFonts w:hint="eastAsia"/>
        </w:rPr>
        <w:t>随着下游市场对高性能和低成本的追求，新能源电池及材料技术迭代不断加速。新能源电池领域，4680等大圆柱电池技术在特斯拉带动下快速推进，目前已初步实现产业化。钠离子电池具备资源丰富、高安全、低成本等优势，被认为在储能、电动船舶、低速电动车等领域有较好应用场景，预计2023年将逐步实现产业化。全固态电池被认为是能够解决高能量密度和安全问题之间矛盾，距离我们最近的下一代电池技术，现阶段半固态电池发展较快，国轩高科360Wh/kg半固态电池计划今年实现装车。氢燃料电池在电动重卡、物流车、观光车等特定应用场景实现示范性应用。</w:t>
      </w:r>
    </w:p>
    <w:p>
      <w:pPr>
        <w:ind w:firstLine="560"/>
      </w:pPr>
      <w:r>
        <w:rPr>
          <w:rFonts w:hint="eastAsia"/>
        </w:rPr>
        <w:t>新能源电池材料领域，硅基负极可显著提升负极材料能量密度，目前海外市场已实现较成熟应用，国内以贝特瑞为主导加速产业化进程。磷酸铁锰锂材料可将磷酸铁锂电池能量密度提升至200Wh/kg以上，显著扩大其应用范围，目前主流电池企业均已布局。此外，掺硅补锂技术、富锂锰基技术等不断推新，带动新能源电池及材料产业加速变革。</w:t>
      </w:r>
    </w:p>
    <w:p>
      <w:pPr>
        <w:pStyle w:val="5"/>
        <w:ind w:firstLine="562"/>
      </w:pPr>
      <w:bookmarkStart w:id="32" w:name="_Toc118298112"/>
      <w:r>
        <w:t xml:space="preserve">3. </w:t>
      </w:r>
      <w:r>
        <w:rPr>
          <w:rFonts w:hint="eastAsia"/>
        </w:rPr>
        <w:t>资源压力催生新能源电池回收技术发展</w:t>
      </w:r>
      <w:bookmarkEnd w:id="32"/>
    </w:p>
    <w:p>
      <w:pPr>
        <w:ind w:firstLine="560"/>
      </w:pPr>
      <w:r>
        <w:rPr>
          <w:rFonts w:hint="eastAsia"/>
        </w:rPr>
        <w:t>下游需求持续高涨以及镍钴锂等矿产资源紧缺，带动上游材料价格大幅上涨，企业成本压力不断攀升，行业对电池回收及金属资源循环利用的需求日益迫切。主要车企、电池企业、材料企业和第三方回收企业纷纷加大新能源电池回收布局，提升资源保障能力和成本控制能力。资源回收率成为重要技术指标，目前三元电池中镍、钴金属回收率基本可做到98.5%以上，锂回收率成为主要技术壁垒。现阶段邦普循环、格林美锂综合回收率可达到90%，部分企业锂回收率在85%-90%区间。随着锂资源需求提升和锂回收经济性显现，未来锂回收率有望突破95%，带动新能源电池回收成为重要的上游材料来源。</w:t>
      </w:r>
    </w:p>
    <w:p>
      <w:pPr>
        <w:pStyle w:val="3"/>
      </w:pPr>
      <w:bookmarkStart w:id="33" w:name="_Toc118298113"/>
      <w:r>
        <w:rPr>
          <w:rFonts w:hint="eastAsia"/>
        </w:rPr>
        <w:t>二、贵州省新能源电池及材料产业发展环境</w:t>
      </w:r>
      <w:bookmarkEnd w:id="33"/>
    </w:p>
    <w:p>
      <w:pPr>
        <w:ind w:firstLine="560"/>
      </w:pPr>
      <w:r>
        <w:rPr>
          <w:rFonts w:hint="eastAsia"/>
        </w:rPr>
        <w:t>2</w:t>
      </w:r>
      <w:r>
        <w:t>022</w:t>
      </w:r>
      <w:r>
        <w:rPr>
          <w:rFonts w:hint="eastAsia"/>
        </w:rPr>
        <w:t>年，国务院发布《国务院关于支持贵州在新时代西部大开发上闯新路的意见》（国发〔2022〕2号），</w:t>
      </w:r>
      <w:bookmarkStart w:id="34" w:name="_Hlk117522550"/>
      <w:r>
        <w:rPr>
          <w:rFonts w:hint="eastAsia"/>
        </w:rPr>
        <w:t>并将贵州省定位为</w:t>
      </w:r>
      <w:r>
        <w:rPr>
          <w:rFonts w:hint="eastAsia"/>
          <w:b/>
          <w:bCs/>
        </w:rPr>
        <w:t>“西部大开发综合改革示范区”</w:t>
      </w:r>
      <w:bookmarkEnd w:id="34"/>
      <w:r>
        <w:rPr>
          <w:rFonts w:hint="eastAsia"/>
          <w:b/>
          <w:bCs/>
        </w:rPr>
        <w:t>。</w:t>
      </w:r>
      <w:r>
        <w:rPr>
          <w:rFonts w:hint="eastAsia"/>
        </w:rPr>
        <w:t>对此，贵州省做出积极响应，依托资源优势和产业基础发展新能源电池及材料产业，并出台了相关政策和方案，助力产业建设并营造良好的发展氛围和营商环境。</w:t>
      </w:r>
    </w:p>
    <w:p>
      <w:pPr>
        <w:pStyle w:val="4"/>
        <w:ind w:left="412"/>
      </w:pPr>
      <w:bookmarkStart w:id="35" w:name="_Toc118298114"/>
      <w:r>
        <w:rPr>
          <w:rFonts w:hint="eastAsia"/>
        </w:rPr>
        <w:t>（一）发展基础</w:t>
      </w:r>
      <w:bookmarkEnd w:id="35"/>
    </w:p>
    <w:p>
      <w:pPr>
        <w:ind w:firstLine="560"/>
      </w:pPr>
      <w:r>
        <w:rPr>
          <w:rFonts w:hint="eastAsia"/>
        </w:rPr>
        <w:t>经过几年的发展，我省新能源电池及材料产业发展取得了长足的进步，产业生态基本形成、产业创新不断提升、资源优势稳步增强、产业集聚逐步显现、产业环境持续改善，形成了良好的发展基础。</w:t>
      </w:r>
    </w:p>
    <w:p>
      <w:pPr>
        <w:ind w:firstLine="562"/>
      </w:pPr>
      <w:r>
        <w:rPr>
          <w:rFonts w:hint="eastAsia"/>
          <w:b/>
          <w:bCs/>
        </w:rPr>
        <w:t>产业生态基本形成。</w:t>
      </w:r>
      <w:r>
        <w:rPr>
          <w:rFonts w:hint="eastAsia"/>
        </w:rPr>
        <w:t>我省加快推进新能源产业发展，新能源电池及材料产业发展迅速。目前，全省拥有新能源电池及材料领域相关国家高新技术企业238家，2021年完成工业总产值1</w:t>
      </w:r>
      <w:r>
        <w:t>61.7</w:t>
      </w:r>
      <w:r>
        <w:rPr>
          <w:rFonts w:hint="eastAsia"/>
        </w:rPr>
        <w:t>亿元，同比增长23.84%，2</w:t>
      </w:r>
      <w:r>
        <w:t>022</w:t>
      </w:r>
      <w:r>
        <w:rPr>
          <w:rFonts w:hint="eastAsia"/>
        </w:rPr>
        <w:t>年1</w:t>
      </w:r>
      <w:r>
        <w:t>-5</w:t>
      </w:r>
      <w:r>
        <w:rPr>
          <w:rFonts w:hint="eastAsia"/>
        </w:rPr>
        <w:t>月已实现</w:t>
      </w:r>
      <w:r>
        <w:t>162.2</w:t>
      </w:r>
      <w:r>
        <w:rPr>
          <w:rFonts w:hint="eastAsia"/>
        </w:rPr>
        <w:t>亿元，同比增长1</w:t>
      </w:r>
      <w:r>
        <w:t>08.3%</w:t>
      </w:r>
      <w:r>
        <w:rPr>
          <w:rFonts w:hint="eastAsia"/>
        </w:rPr>
        <w:t>。全省聚焦新能源电池、正极材料、负极材料、电解液、隔膜等关键材料和循环梯次综合利用产业，坚持三元、磷系两条路线并重，已形成“电池级锰盐—三元前驱体—三元正极材料—新能源汽车动力电池—回收拆解”和“磷酸—磷酸铁—磷酸铁锂材料—储能和动力电池—梯次综合利用”为代表的锂电池正极材料全产业链条，产业生态已基本形成。</w:t>
      </w:r>
    </w:p>
    <w:p>
      <w:pPr>
        <w:ind w:firstLine="562"/>
      </w:pPr>
      <w:r>
        <w:rPr>
          <w:rFonts w:hint="eastAsia"/>
          <w:b/>
          <w:bCs/>
        </w:rPr>
        <w:t>产业创新不断提升。</w:t>
      </w:r>
      <w:r>
        <w:rPr>
          <w:rFonts w:hint="eastAsia"/>
        </w:rPr>
        <w:t>我省持续围绕新能源电池及材料产业，制定产业转型升级关键技术清单，推进高端补链、终端延链、整体强链，培育新能源电池及材料产业链，建立科技创新平台。重点支持“高效锰基柔性钠离子薄膜电池的构建与储能机理研究”、“镍钴锰三元动力材料系列产品制备”、“锰系正极材料制备科技重点支撑项目”、“无钴及纯系系列前驱体材料研发”等新能源电池及材料产业领域科技项目。2021年我省共支持新能源电池材料领域科技计划项目54项，资助经费2510万元。</w:t>
      </w:r>
    </w:p>
    <w:p>
      <w:pPr>
        <w:ind w:firstLine="562"/>
      </w:pPr>
      <w:r>
        <w:rPr>
          <w:rFonts w:hint="eastAsia"/>
          <w:b/>
          <w:bCs/>
        </w:rPr>
        <w:t>资源优势稳步增强。</w:t>
      </w:r>
      <w:r>
        <w:rPr>
          <w:rFonts w:hint="eastAsia"/>
        </w:rPr>
        <w:t>我省矿产资源丰富，占据资源禀赋优势，拥有新能源电池及材料产业生产涉及的锂、磷、锰等8种矿产资源。其中，截至2</w:t>
      </w:r>
      <w:r>
        <w:t>020</w:t>
      </w:r>
      <w:r>
        <w:rPr>
          <w:rFonts w:hint="eastAsia"/>
        </w:rPr>
        <w:t>年底磷矿查明资源量48.91亿吨，排名全国第三位，锰矿查明资源量8.31亿吨，排全国第一位，铝土矿查明资源量为11.39亿吨，排全国第三位。我省依托矿产资源优势，积极引进和重点支持多家企业打造和延伸产业链条，依托磷资源发展磷酸盐系正极材料，依托锰资源发展硫酸锰、三元前驱体，依托铝资源发展电池铝箔、电池结构件等产业。与安达科技、中伟科技、比亚迪等企业形成良好的产业协同效应，为我省发展新能源电池及材料产业提供了可靠的资源保障。</w:t>
      </w:r>
    </w:p>
    <w:p>
      <w:pPr>
        <w:ind w:firstLine="562"/>
      </w:pPr>
      <w:r>
        <w:rPr>
          <w:rFonts w:hint="eastAsia"/>
          <w:b/>
          <w:bCs/>
        </w:rPr>
        <w:t>产业集聚逐步显现。</w:t>
      </w:r>
      <w:r>
        <w:rPr>
          <w:rFonts w:hint="eastAsia"/>
        </w:rPr>
        <w:t>我省新能源电池及材料企业实力逐步增强，积聚了一批具有较强竞争力的龙头企业，产业集聚效应逐步显现。新能源电池方面拥有龙头企业宁德时代和比亚迪，规划电池产能规模超过1</w:t>
      </w:r>
      <w:r>
        <w:t>00</w:t>
      </w:r>
      <w:r>
        <w:rPr>
          <w:rFonts w:hint="eastAsia"/>
        </w:rPr>
        <w:t>GWh；正极材料方面，形成以盛屯能源、中伟科技、容百科技、振华新材料为代表的三元材料体系以及磷化集团、胜威化工、贵州裕能、安达科技等为代表的磷酸铁锂材料体系；负极材料方面，主要集中在电力资源丰富的黔西南州，包括晖阳、东岛、鑫茂等多家负极材料企业；电解液材料方面，华天香、时代思康等上游添加剂和磷化集团的六氟磷酸锂以及航盛、贵州兴锂、光瑞科技等电解液企业已具备一定的产业规模。</w:t>
      </w:r>
    </w:p>
    <w:p>
      <w:pPr>
        <w:ind w:firstLine="562"/>
      </w:pPr>
      <w:r>
        <w:rPr>
          <w:rFonts w:hint="eastAsia"/>
          <w:b/>
          <w:bCs/>
        </w:rPr>
        <w:t>产业环境持续改善。</w:t>
      </w:r>
      <w:r>
        <w:rPr>
          <w:rFonts w:hint="eastAsia"/>
        </w:rPr>
        <w:t>我省省委省政府高度重视新能源电池及材料产业的发展，统筹全省抢抓“双碳”政策及新国发2号文战略重大发展机遇，组织成立新能源电池及材料产业发展工作专班，全面推进新能源动力电池及材料研发生产基地建设，统筹推进全省新能源电池及材料产业高质量发展各项工作，同时构建了“一核两区”战略部署，将新能源电池及材料产业提升到新的高度，为全省新能源电池及材料产业的发展营造良好的营商环境。除此之外，目前省内已有两大龙头电池企业，为省内上游正负极材料以及其他材料企业提供巨大的市场空间，使我省新能源电池及材料产业呈现“高速扩张、效益明显、规模壮大”的良好发展态势。</w:t>
      </w:r>
    </w:p>
    <w:p>
      <w:pPr>
        <w:pStyle w:val="4"/>
        <w:ind w:left="412"/>
      </w:pPr>
      <w:bookmarkStart w:id="36" w:name="_Toc118298115"/>
      <w:r>
        <w:rPr>
          <w:rFonts w:hint="eastAsia"/>
        </w:rPr>
        <w:t>（二）主要问题</w:t>
      </w:r>
      <w:bookmarkEnd w:id="36"/>
    </w:p>
    <w:p>
      <w:pPr>
        <w:ind w:firstLine="560"/>
      </w:pPr>
      <w:r>
        <w:rPr>
          <w:rFonts w:hint="eastAsia"/>
        </w:rPr>
        <w:t>我省在新能源电池及材料产业的发展上已具备一定的现实基础，与此同时，也存在产业竞争力不强、科研创新能力不足、产业链配套有待加强、产业结构有待优化、产业管理和政策体系有待完善等问题。</w:t>
      </w:r>
    </w:p>
    <w:p>
      <w:pPr>
        <w:ind w:firstLine="562"/>
        <w:rPr>
          <w:rFonts w:ascii="微软雅黑" w:hAnsi="微软雅黑" w:eastAsia="微软雅黑" w:cs="微软雅黑"/>
        </w:rPr>
      </w:pPr>
      <w:r>
        <w:rPr>
          <w:rFonts w:hint="eastAsia"/>
          <w:b/>
          <w:bCs/>
        </w:rPr>
        <w:t>产业竞争力不强。</w:t>
      </w:r>
      <w:r>
        <w:rPr>
          <w:rFonts w:hint="eastAsia"/>
        </w:rPr>
        <w:t>我省新能源电池产业起步较早，安达科技、振华新材等企业早已布局，但总体发展速度较慢，近期招引的主要企业包括宁德时代以及黔南州的磷酸盐系材料企业等众多项目仍处于初步建设阶段，建成投产尚需时间。从产业基础来看，与国内发展成熟的新能源电池产业基地存在一定的差距。从产品来看，目前我省主要以上游材料加工和电池生产为主，尚缺乏下游新能源汽车和储能应用领域的带动，不利于产业产值的规模化扩大；总体来看，我省新能源电池及材料产业虽然已具备一定的基础，但总体竞争力仍显不足。</w:t>
      </w:r>
    </w:p>
    <w:p>
      <w:pPr>
        <w:ind w:firstLine="562"/>
      </w:pPr>
      <w:r>
        <w:rPr>
          <w:rFonts w:hint="eastAsia"/>
          <w:b/>
          <w:bCs/>
        </w:rPr>
        <w:t>科研创新能力不足。</w:t>
      </w:r>
      <w:r>
        <w:rPr>
          <w:rFonts w:hint="eastAsia"/>
        </w:rPr>
        <w:t>目前我省的招商以资源为主，尤其是磷系资源。对于新技术和新产品的技术创新能力和整体水平仍然偏低，省内相关企业的基础性技术积累和产品研发投入不足，关键核心技术较少。产业以生产制造为主，缺乏高端创新主体、科研平台和人才资源，研发机构本地化程度不够，难以对全省新能源电池及材料产业的高质量发展形成技术支撑。</w:t>
      </w:r>
    </w:p>
    <w:p>
      <w:pPr>
        <w:ind w:firstLine="562"/>
      </w:pPr>
      <w:r>
        <w:rPr>
          <w:rFonts w:hint="eastAsia"/>
          <w:b/>
          <w:bCs/>
        </w:rPr>
        <w:t>产业链配套有待加强。</w:t>
      </w:r>
      <w:r>
        <w:rPr>
          <w:rFonts w:hint="eastAsia"/>
        </w:rPr>
        <w:t>目前我省新能源电池及材料产业链条尚不完善，电解液和隔膜环节缺失，企业之间的配套关系不紧密，上游材料企业和下游终端企业规模较小，市场竞争力不强。一是我省上游原材料企业与动力电池企业之间配套率较低，部分企业存在采购和销售两头在外的情况。二是下游终端缺乏整车企业的带动，目前市内仅奇瑞万达有投产，但产量较小，无法带动全省新能源电池产业链的延伸，不能形成产业集聚效应。</w:t>
      </w:r>
    </w:p>
    <w:p>
      <w:pPr>
        <w:ind w:firstLine="562"/>
        <w:rPr>
          <w:b/>
          <w:bCs/>
        </w:rPr>
      </w:pPr>
      <w:r>
        <w:rPr>
          <w:rFonts w:hint="eastAsia"/>
          <w:b/>
          <w:bCs/>
        </w:rPr>
        <w:t>产业结构有待优化。</w:t>
      </w:r>
      <w:r>
        <w:rPr>
          <w:rFonts w:hint="eastAsia"/>
        </w:rPr>
        <w:t>截至2</w:t>
      </w:r>
      <w:r>
        <w:t>021</w:t>
      </w:r>
      <w:r>
        <w:rPr>
          <w:rFonts w:hint="eastAsia"/>
        </w:rPr>
        <w:t>年底，全省已形成的产能包括磷酸铁1</w:t>
      </w:r>
      <w:r>
        <w:t>5</w:t>
      </w:r>
      <w:r>
        <w:rPr>
          <w:rFonts w:hint="eastAsia"/>
        </w:rPr>
        <w:t>万吨/年，磷酸铁锂9万吨/年，三元正极材料约</w:t>
      </w:r>
      <w:r>
        <w:t>8</w:t>
      </w:r>
      <w:r>
        <w:rPr>
          <w:rFonts w:hint="eastAsia"/>
        </w:rPr>
        <w:t>万吨，电解液产能</w:t>
      </w:r>
      <w:r>
        <w:t>2.6</w:t>
      </w:r>
      <w:r>
        <w:rPr>
          <w:rFonts w:hint="eastAsia"/>
        </w:rPr>
        <w:t>万吨，负极材料</w:t>
      </w:r>
      <w:r>
        <w:t>4.2</w:t>
      </w:r>
      <w:r>
        <w:rPr>
          <w:rFonts w:hint="eastAsia"/>
        </w:rPr>
        <w:t>万吨，在建磷酸铁产能超过2</w:t>
      </w:r>
      <w:r>
        <w:t>00</w:t>
      </w:r>
      <w:r>
        <w:rPr>
          <w:rFonts w:hint="eastAsia"/>
        </w:rPr>
        <w:t>万吨，磷酸铁锂产能超过1</w:t>
      </w:r>
      <w:r>
        <w:t>00</w:t>
      </w:r>
      <w:r>
        <w:rPr>
          <w:rFonts w:hint="eastAsia"/>
        </w:rPr>
        <w:t>万吨，石墨化及负极材料产能超过</w:t>
      </w:r>
      <w:r>
        <w:t>50</w:t>
      </w:r>
      <w:r>
        <w:rPr>
          <w:rFonts w:hint="eastAsia"/>
        </w:rPr>
        <w:t>万吨，主要围绕磷矿资源和高耗能石墨化负极材料产业布局，高端三元正极材料、电解液添加剂、新能源电池等重点领域和关键环节布局较少，尚未形成有效产能。</w:t>
      </w:r>
    </w:p>
    <w:p>
      <w:pPr>
        <w:ind w:firstLine="562"/>
      </w:pPr>
      <w:r>
        <w:rPr>
          <w:rFonts w:hint="eastAsia"/>
          <w:b/>
          <w:bCs/>
        </w:rPr>
        <w:t>产业管理和政策体系有待完善。</w:t>
      </w:r>
      <w:r>
        <w:rPr>
          <w:rFonts w:hint="eastAsia"/>
        </w:rPr>
        <w:t>我省新能源电池及材料产业处于高速发展期，各类企业和项目急速涌进，省级和各市州对相关项目的审核和指导性发展缺乏经验，没有形成系统化的产业管理和政策体系，尤其针对化工项目和环保政策的执行缺乏省级指导文件，部分地区形成无序化发展，从而造成资源的浪费。</w:t>
      </w:r>
    </w:p>
    <w:p>
      <w:pPr>
        <w:pStyle w:val="4"/>
        <w:ind w:left="412"/>
      </w:pPr>
      <w:bookmarkStart w:id="37" w:name="_Toc118298116"/>
      <w:r>
        <w:rPr>
          <w:rFonts w:hint="eastAsia"/>
        </w:rPr>
        <w:t>（三）面临形势</w:t>
      </w:r>
      <w:bookmarkEnd w:id="37"/>
    </w:p>
    <w:p>
      <w:pPr>
        <w:ind w:firstLine="562"/>
        <w:rPr>
          <w:b/>
          <w:bCs/>
        </w:rPr>
      </w:pPr>
      <w:r>
        <w:rPr>
          <w:rFonts w:hint="eastAsia"/>
          <w:b/>
          <w:bCs/>
        </w:rPr>
        <w:t>1</w:t>
      </w:r>
      <w:r>
        <w:rPr>
          <w:b/>
          <w:bCs/>
        </w:rPr>
        <w:t xml:space="preserve">. </w:t>
      </w:r>
      <w:r>
        <w:rPr>
          <w:rFonts w:hint="eastAsia"/>
          <w:b/>
          <w:bCs/>
        </w:rPr>
        <w:t>发展机遇</w:t>
      </w:r>
    </w:p>
    <w:p>
      <w:pPr>
        <w:ind w:firstLine="560"/>
        <w:rPr>
          <w:color w:val="FF0000"/>
        </w:rPr>
      </w:pPr>
      <w:r>
        <w:rPr>
          <w:rFonts w:hint="eastAsia"/>
        </w:rPr>
        <w:t>当前，新能源转型已成为大势所趋，在“双碳”经济的促进下，新能源汽车、储能及相关产业取得重大进展，由培育期进入高速发展期，为我省的新能源电池及材料产业带来发展机遇。</w:t>
      </w:r>
    </w:p>
    <w:p>
      <w:pPr>
        <w:ind w:firstLine="562"/>
        <w:rPr>
          <w:b/>
          <w:bCs/>
        </w:rPr>
      </w:pPr>
      <w:r>
        <w:rPr>
          <w:rFonts w:hint="eastAsia"/>
          <w:b/>
          <w:bCs/>
        </w:rPr>
        <w:t>能源革命为新能源电池及材料产业带来重大历史机遇。</w:t>
      </w:r>
      <w:r>
        <w:rPr>
          <w:rFonts w:hint="eastAsia"/>
        </w:rPr>
        <w:t>当前，全球正面临新一轮能源革命，以高效化、清洁化、低碳化、智能化为主要特征，绿色低碳成为世界经济和能源发展的主旋律。汽车、储能、消费等行业纷纷向新能源转型升级，创新突破新能源技术、新材料和新一代信息技术。新能源电池及材料产业作为能源革命的重要支撑，是应对新一轮能源革命和产业变革的重要环节，也是新能源汽车、电化学储能等产业发展基础。</w:t>
      </w:r>
    </w:p>
    <w:p>
      <w:pPr>
        <w:ind w:firstLine="562"/>
      </w:pPr>
      <w:r>
        <w:rPr>
          <w:rFonts w:hint="eastAsia"/>
          <w:b/>
          <w:bCs/>
        </w:rPr>
        <w:t>新能源汽车和储能等行业处在高速发展阶段。</w:t>
      </w:r>
      <w:r>
        <w:rPr>
          <w:rFonts w:hint="eastAsia"/>
        </w:rPr>
        <w:t>在能源问题和政策加码的形势下，新能源汽车和储能等产业正处于战略机遇期，市场发展迅速。随着国内外传统车企及造车新势力加快布局新能源汽车市场，电网储能、家庭储能应用场景逐渐推广，消费电池实现对铅酸电池的加速替代，对上游材料的需求将进一步增加，为我省新能源电池及材料产业创造了巨大的市场空间。</w:t>
      </w:r>
    </w:p>
    <w:p>
      <w:pPr>
        <w:ind w:firstLine="562"/>
      </w:pPr>
      <w:r>
        <w:rPr>
          <w:rFonts w:hint="eastAsia"/>
          <w:b/>
          <w:bCs/>
        </w:rPr>
        <w:t>国务院发布的国发2号文为我省新能源电池及材料产业带来政策机遇。</w:t>
      </w:r>
      <w:r>
        <w:rPr>
          <w:rFonts w:hint="eastAsia"/>
        </w:rPr>
        <w:t>2</w:t>
      </w:r>
      <w:r>
        <w:t>022</w:t>
      </w:r>
      <w:r>
        <w:rPr>
          <w:rFonts w:hint="eastAsia"/>
        </w:rPr>
        <w:t>年国务院发布《国务院关于支持贵州在新时代西部大开发上闯新路的意见》（国发〔2022〕2号），意见指出：“支持贵州培育壮大战略性新兴产业，加快新能源动力电池及材料研发生产基地建设，有序发展轻量化材料、电机电控、充换电设备等新能源汽车配套产业。”为积极贯彻落实（国发〔2022〕2号）精神，贵州省在2</w:t>
      </w:r>
      <w:r>
        <w:t>021</w:t>
      </w:r>
      <w:r>
        <w:rPr>
          <w:rFonts w:hint="eastAsia"/>
        </w:rPr>
        <w:t>年出台的《关于推进锂电池材料产业高质量发展的指导意见》之上，又发布《2022年推进贵州省新能源电池及材料产业高质量发展行动方案》，抢抓“双碳”战略重大发展机遇，加快推进省内新能源电池及材料产业高质量发展。着力构建“一核两区”产业发展格局，提高了新能源电池及材料产业的战略定位，进一步加快推进锂电池材料产业高质量发展。</w:t>
      </w:r>
    </w:p>
    <w:p>
      <w:pPr>
        <w:ind w:firstLine="562"/>
        <w:rPr>
          <w:b/>
          <w:bCs/>
        </w:rPr>
      </w:pPr>
      <w:r>
        <w:rPr>
          <w:rFonts w:hint="eastAsia"/>
          <w:b/>
          <w:bCs/>
        </w:rPr>
        <w:t>2</w:t>
      </w:r>
      <w:r>
        <w:rPr>
          <w:b/>
          <w:bCs/>
        </w:rPr>
        <w:t xml:space="preserve">. </w:t>
      </w:r>
      <w:r>
        <w:rPr>
          <w:rFonts w:hint="eastAsia"/>
          <w:b/>
          <w:bCs/>
        </w:rPr>
        <w:t>面临挑战</w:t>
      </w:r>
    </w:p>
    <w:p>
      <w:pPr>
        <w:ind w:firstLine="560"/>
      </w:pPr>
      <w:r>
        <w:rPr>
          <w:rFonts w:hint="eastAsia"/>
        </w:rPr>
        <w:t>我省新能源电池及材料产业发展迎来重要的战略机遇期，全省必须加强顶层设计、主动作为，抢抓产业发展机遇，同时厘清产业发展过程中核心问题，直面挑战。</w:t>
      </w:r>
    </w:p>
    <w:p>
      <w:pPr>
        <w:ind w:firstLine="562"/>
      </w:pPr>
      <w:r>
        <w:rPr>
          <w:rFonts w:hint="eastAsia"/>
          <w:b/>
          <w:bCs/>
        </w:rPr>
        <w:t>市场竞争日趋激烈。</w:t>
      </w:r>
      <w:r>
        <w:rPr>
          <w:rFonts w:hint="eastAsia"/>
        </w:rPr>
        <w:t>近年来，在政策刺激和市场需求推动下，新能源电池及材料产业持续景气，政府主体、企业和资本不断涌入新能源电池及材料产业赛道，市场竞争日趋白热化。全国多省将新能源电池及相关产业列为重点发展方向，多个城市提出“锂电之都”等口号，其中四川、云南借助产业向中西部转移的机遇，同时利用自身资源和政策优势，大力引进新能源电池及材料相关产业，已形成一定的产业规模，新能源电池及相关材料产业竞争优势不断提升。周边地区的发展对我省新能源电池及材料产业形成直接的竞争压力。</w:t>
      </w:r>
    </w:p>
    <w:p>
      <w:pPr>
        <w:ind w:firstLine="562"/>
      </w:pPr>
      <w:r>
        <w:rPr>
          <w:rFonts w:hint="eastAsia"/>
          <w:b/>
          <w:bCs/>
        </w:rPr>
        <w:t>技术迭代速度不断加快。</w:t>
      </w:r>
      <w:r>
        <w:rPr>
          <w:rFonts w:hint="eastAsia"/>
        </w:rPr>
        <w:t>目前三元材料和磷酸铁锂材料齐头并进，新能源领域技术创新层出不穷，包括固态电池、钠离子电池、液流电池、氢燃料电池等新型电池技术也在加大开发和产业化力度，未来有望对锂电池及相关材料产业的市场空间实现部分替代。未来电池材料体系和技术路线的选择，新型电池技术的前沿布局，可能对我省依托资源禀赋建立的产业格局造成一定的冲击。</w:t>
      </w:r>
    </w:p>
    <w:p>
      <w:pPr>
        <w:ind w:firstLine="562"/>
      </w:pPr>
      <w:r>
        <w:rPr>
          <w:rFonts w:hint="eastAsia"/>
          <w:b/>
          <w:bCs/>
        </w:rPr>
        <w:t>产业扩张存在一定的绿色环保风险。</w:t>
      </w:r>
      <w:r>
        <w:rPr>
          <w:rFonts w:hint="eastAsia"/>
        </w:rPr>
        <w:t>新能源电池及材料产业是由能源革命推动，但电池及材料的生产过程仍然涉及一定的绿色环保风险，尤其是在电解液、电解质、添加剂以及负极石墨化等领域存在化工污染和高能耗的影响。目前，国家层面尚未针对新能源电池及材料产业出台明确的环保管理办法，主要结合《国民经济行业分类》和“国家工业和信息化部指出的化工行业管理范畴”，并参考当地生态环境和经济社会发展实际等因素综合研判，无法通过国家层面的规定对地方的项目的引进和分类进行有效指导，未来随着行业规模扩大必将实现规范化管理，而地方已落地的部分项目和产能可能面临因不符合环保规定被停产或取消的风险。</w:t>
      </w:r>
    </w:p>
    <w:p>
      <w:pPr>
        <w:pStyle w:val="3"/>
      </w:pPr>
      <w:bookmarkStart w:id="38" w:name="_Toc118298117"/>
      <w:r>
        <w:rPr>
          <w:rFonts w:hint="eastAsia"/>
        </w:rPr>
        <w:t>三、对标城市发展经验与启示</w:t>
      </w:r>
      <w:bookmarkEnd w:id="38"/>
    </w:p>
    <w:p>
      <w:pPr>
        <w:ind w:firstLine="560"/>
      </w:pPr>
      <w:r>
        <w:rPr>
          <w:rFonts w:hint="eastAsia"/>
        </w:rPr>
        <w:t>通过对全球、中国及我省新能源电池及材料产业的深入分析，结合我省新能源电池及材料产业发展的目标与定位，分别选取以磷矿锂矿等资源为依托的中西部省份—云南省、四川省、江西省，作为三个对标省份，分别对其新能源电池及材料产业链发展现状、发展规划、出台政策和发展经验进行总结分析，以期为我省新能源电池及材料产业发展起到良好的借鉴作用。</w:t>
      </w:r>
    </w:p>
    <w:p>
      <w:pPr>
        <w:pStyle w:val="4"/>
        <w:ind w:left="412"/>
      </w:pPr>
      <w:bookmarkStart w:id="39" w:name="_Toc118298118"/>
      <w:r>
        <w:rPr>
          <w:rFonts w:hint="eastAsia"/>
        </w:rPr>
        <w:t>（一）云南省</w:t>
      </w:r>
      <w:bookmarkEnd w:id="39"/>
    </w:p>
    <w:p>
      <w:pPr>
        <w:ind w:firstLine="562"/>
      </w:pPr>
      <w:r>
        <w:rPr>
          <w:rFonts w:hint="eastAsia"/>
          <w:b/>
          <w:bCs/>
        </w:rPr>
        <w:t>发展现状：</w:t>
      </w:r>
      <w:r>
        <w:rPr>
          <w:rFonts w:hint="eastAsia"/>
        </w:rPr>
        <w:t>云南省拥有丰富的碳酸盐粘土型锂资源，其中氧化锂资源量高达489万吨。凭借区域内丰富的锂矿、磷矿资源优势，围绕上游材料—中游电芯制造—下游应用—终端回收锂电池全产业链，初步形成了完整的新能源电池及材料产业链。2021年锂离子电池产业产值为58.66亿元，同比增长达91%，其中消费电池约2.5亿只、正极材料约13万吨、负极材料约6.5万吨。目前德方纳米、湖南裕能、贝特瑞等电池材料头部企业正加速在云南投资建设布局，同时宁德时代、亿纬锂能、孚能科技等动力电池头部企业延伸产业链。在区位发展上，云南省初步形成了以曲靖、昆明、玉溪为重点的新能源电池及材料产业集聚发展格局。</w:t>
      </w:r>
    </w:p>
    <w:tbl>
      <w:tblPr>
        <w:tblStyle w:val="21"/>
        <w:tblW w:w="8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9"/>
        <w:gridCol w:w="851"/>
        <w:gridCol w:w="1135"/>
        <w:gridCol w:w="1131"/>
        <w:gridCol w:w="2693"/>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89" w:type="dxa"/>
            <w:shd w:val="clear" w:color="auto" w:fill="5B9BD5" w:themeFill="accent5"/>
            <w:vAlign w:val="center"/>
          </w:tcPr>
          <w:p>
            <w:pPr>
              <w:spacing w:line="240" w:lineRule="auto"/>
              <w:ind w:firstLine="0" w:firstLineChars="0"/>
              <w:jc w:val="center"/>
              <w:rPr>
                <w:rFonts w:ascii="黑体" w:hAnsi="黑体" w:eastAsia="黑体"/>
                <w:b/>
                <w:bCs/>
                <w:color w:val="FFFFFF" w:themeColor="background1"/>
                <w:sz w:val="18"/>
                <w:szCs w:val="18"/>
                <w14:textFill>
                  <w14:solidFill>
                    <w14:schemeClr w14:val="bg1"/>
                  </w14:solidFill>
                </w14:textFill>
              </w:rPr>
            </w:pPr>
            <w:r>
              <w:rPr>
                <w:rFonts w:hint="eastAsia" w:ascii="黑体" w:hAnsi="黑体" w:eastAsia="黑体"/>
                <w:b/>
                <w:bCs/>
                <w:color w:val="FFFFFF" w:themeColor="background1"/>
                <w:sz w:val="18"/>
                <w:szCs w:val="18"/>
                <w14:textFill>
                  <w14:solidFill>
                    <w14:schemeClr w14:val="bg1"/>
                  </w14:solidFill>
                </w14:textFill>
              </w:rPr>
              <w:t>所在地区</w:t>
            </w:r>
          </w:p>
        </w:tc>
        <w:tc>
          <w:tcPr>
            <w:tcW w:w="851" w:type="dxa"/>
            <w:shd w:val="clear" w:color="auto" w:fill="5B9BD5" w:themeFill="accent5"/>
            <w:vAlign w:val="center"/>
          </w:tcPr>
          <w:p>
            <w:pPr>
              <w:spacing w:line="240" w:lineRule="auto"/>
              <w:ind w:firstLine="0" w:firstLineChars="0"/>
              <w:jc w:val="center"/>
              <w:rPr>
                <w:rFonts w:ascii="黑体" w:hAnsi="黑体" w:eastAsia="黑体"/>
                <w:b/>
                <w:bCs/>
                <w:color w:val="FFFFFF" w:themeColor="background1"/>
                <w:sz w:val="18"/>
                <w:szCs w:val="18"/>
                <w14:textFill>
                  <w14:solidFill>
                    <w14:schemeClr w14:val="bg1"/>
                  </w14:solidFill>
                </w14:textFill>
              </w:rPr>
            </w:pPr>
            <w:r>
              <w:rPr>
                <w:rFonts w:hint="eastAsia" w:ascii="黑体" w:hAnsi="黑体" w:eastAsia="黑体"/>
                <w:b/>
                <w:bCs/>
                <w:color w:val="FFFFFF" w:themeColor="background1"/>
                <w:sz w:val="18"/>
                <w:szCs w:val="18"/>
                <w14:textFill>
                  <w14:solidFill>
                    <w14:schemeClr w14:val="bg1"/>
                  </w14:solidFill>
                </w14:textFill>
              </w:rPr>
              <w:t>序号</w:t>
            </w:r>
          </w:p>
        </w:tc>
        <w:tc>
          <w:tcPr>
            <w:tcW w:w="1135" w:type="dxa"/>
            <w:shd w:val="clear" w:color="auto" w:fill="5B9BD5" w:themeFill="accent5"/>
            <w:vAlign w:val="center"/>
          </w:tcPr>
          <w:p>
            <w:pPr>
              <w:spacing w:line="240" w:lineRule="auto"/>
              <w:ind w:firstLine="0" w:firstLineChars="0"/>
              <w:jc w:val="center"/>
              <w:rPr>
                <w:rFonts w:ascii="黑体" w:hAnsi="黑体" w:eastAsia="黑体"/>
                <w:b/>
                <w:bCs/>
                <w:color w:val="FFFFFF" w:themeColor="background1"/>
                <w:sz w:val="18"/>
                <w:szCs w:val="18"/>
                <w14:textFill>
                  <w14:solidFill>
                    <w14:schemeClr w14:val="bg1"/>
                  </w14:solidFill>
                </w14:textFill>
              </w:rPr>
            </w:pPr>
            <w:r>
              <w:rPr>
                <w:rFonts w:hint="eastAsia" w:ascii="黑体" w:hAnsi="黑体" w:eastAsia="黑体"/>
                <w:b/>
                <w:bCs/>
                <w:color w:val="FFFFFF" w:themeColor="background1"/>
                <w:sz w:val="18"/>
                <w:szCs w:val="18"/>
                <w14:textFill>
                  <w14:solidFill>
                    <w14:schemeClr w14:val="bg1"/>
                  </w14:solidFill>
                </w14:textFill>
              </w:rPr>
              <w:t>公司名称</w:t>
            </w:r>
          </w:p>
        </w:tc>
        <w:tc>
          <w:tcPr>
            <w:tcW w:w="1131" w:type="dxa"/>
            <w:shd w:val="clear" w:color="auto" w:fill="5B9BD5" w:themeFill="accent5"/>
            <w:vAlign w:val="center"/>
          </w:tcPr>
          <w:p>
            <w:pPr>
              <w:spacing w:line="240" w:lineRule="auto"/>
              <w:ind w:firstLine="0" w:firstLineChars="0"/>
              <w:jc w:val="center"/>
              <w:rPr>
                <w:rFonts w:ascii="黑体" w:hAnsi="黑体" w:eastAsia="黑体"/>
                <w:b/>
                <w:bCs/>
                <w:color w:val="FFFFFF" w:themeColor="background1"/>
                <w:sz w:val="18"/>
                <w:szCs w:val="18"/>
                <w14:textFill>
                  <w14:solidFill>
                    <w14:schemeClr w14:val="bg1"/>
                  </w14:solidFill>
                </w14:textFill>
              </w:rPr>
            </w:pPr>
            <w:r>
              <w:rPr>
                <w:rFonts w:hint="eastAsia" w:ascii="黑体" w:hAnsi="黑体" w:eastAsia="黑体"/>
                <w:b/>
                <w:bCs/>
                <w:color w:val="FFFFFF" w:themeColor="background1"/>
                <w:sz w:val="18"/>
                <w:szCs w:val="18"/>
                <w14:textFill>
                  <w14:solidFill>
                    <w14:schemeClr w14:val="bg1"/>
                  </w14:solidFill>
                </w14:textFill>
              </w:rPr>
              <w:t>现有产能</w:t>
            </w:r>
          </w:p>
        </w:tc>
        <w:tc>
          <w:tcPr>
            <w:tcW w:w="2693" w:type="dxa"/>
            <w:shd w:val="clear" w:color="auto" w:fill="5B9BD5" w:themeFill="accent5"/>
            <w:vAlign w:val="center"/>
          </w:tcPr>
          <w:p>
            <w:pPr>
              <w:spacing w:line="240" w:lineRule="auto"/>
              <w:ind w:firstLine="0" w:firstLineChars="0"/>
              <w:jc w:val="center"/>
              <w:rPr>
                <w:rFonts w:ascii="黑体" w:hAnsi="黑体" w:eastAsia="黑体"/>
                <w:b/>
                <w:bCs/>
                <w:color w:val="FFFFFF" w:themeColor="background1"/>
                <w:sz w:val="18"/>
                <w:szCs w:val="18"/>
                <w14:textFill>
                  <w14:solidFill>
                    <w14:schemeClr w14:val="bg1"/>
                  </w14:solidFill>
                </w14:textFill>
              </w:rPr>
            </w:pPr>
            <w:r>
              <w:rPr>
                <w:rFonts w:hint="eastAsia" w:ascii="黑体" w:hAnsi="黑体" w:eastAsia="黑体"/>
                <w:b/>
                <w:bCs/>
                <w:color w:val="FFFFFF" w:themeColor="background1"/>
                <w:sz w:val="18"/>
                <w:szCs w:val="18"/>
                <w14:textFill>
                  <w14:solidFill>
                    <w14:schemeClr w14:val="bg1"/>
                  </w14:solidFill>
                </w14:textFill>
              </w:rPr>
              <w:t>未来规划</w:t>
            </w:r>
          </w:p>
        </w:tc>
        <w:tc>
          <w:tcPr>
            <w:tcW w:w="2045" w:type="dxa"/>
            <w:shd w:val="clear" w:color="auto" w:fill="5B9BD5" w:themeFill="accent5"/>
            <w:vAlign w:val="center"/>
          </w:tcPr>
          <w:p>
            <w:pPr>
              <w:spacing w:line="240" w:lineRule="auto"/>
              <w:ind w:firstLine="0" w:firstLineChars="0"/>
              <w:jc w:val="center"/>
              <w:rPr>
                <w:rFonts w:ascii="黑体" w:hAnsi="黑体" w:eastAsia="黑体"/>
                <w:b/>
                <w:bCs/>
                <w:color w:val="FFFFFF" w:themeColor="background1"/>
                <w:sz w:val="18"/>
                <w:szCs w:val="18"/>
                <w14:textFill>
                  <w14:solidFill>
                    <w14:schemeClr w14:val="bg1"/>
                  </w14:solidFill>
                </w14:textFill>
              </w:rPr>
            </w:pPr>
            <w:r>
              <w:rPr>
                <w:rFonts w:hint="eastAsia" w:ascii="黑体" w:hAnsi="黑体" w:eastAsia="黑体"/>
                <w:b/>
                <w:bCs/>
                <w:color w:val="FFFFFF" w:themeColor="background1"/>
                <w:sz w:val="18"/>
                <w:szCs w:val="18"/>
                <w14:textFill>
                  <w14:solidFill>
                    <w14:schemeClr w14:val="bg1"/>
                  </w14:solidFill>
                </w14:textFill>
              </w:rPr>
              <w:t>发展启示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89" w:type="dxa"/>
            <w:vMerge w:val="restar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昆明市</w:t>
            </w:r>
          </w:p>
        </w:tc>
        <w:tc>
          <w:tcPr>
            <w:tcW w:w="85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1</w:t>
            </w:r>
          </w:p>
        </w:tc>
        <w:tc>
          <w:tcPr>
            <w:tcW w:w="1135"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云南裕能</w:t>
            </w:r>
          </w:p>
        </w:tc>
        <w:tc>
          <w:tcPr>
            <w:tcW w:w="113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2693"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年产50万吨磷酸铁和50万吨磷酸铁锂</w:t>
            </w:r>
          </w:p>
        </w:tc>
        <w:tc>
          <w:tcPr>
            <w:tcW w:w="2045" w:type="dxa"/>
            <w:vMerge w:val="restar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依托磷矿资源，大力发展磷酸铁锂正极材料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89" w:type="dxa"/>
            <w:vMerge w:val="continue"/>
            <w:vAlign w:val="center"/>
          </w:tcPr>
          <w:p>
            <w:pPr>
              <w:spacing w:line="240" w:lineRule="auto"/>
              <w:ind w:firstLine="0" w:firstLineChars="0"/>
              <w:jc w:val="center"/>
              <w:rPr>
                <w:rFonts w:ascii="黑体" w:hAnsi="黑体" w:eastAsia="黑体"/>
                <w:sz w:val="18"/>
                <w:szCs w:val="18"/>
              </w:rPr>
            </w:pPr>
          </w:p>
        </w:tc>
        <w:tc>
          <w:tcPr>
            <w:tcW w:w="85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2</w:t>
            </w:r>
          </w:p>
        </w:tc>
        <w:tc>
          <w:tcPr>
            <w:tcW w:w="1135"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天安化工</w:t>
            </w:r>
          </w:p>
        </w:tc>
        <w:tc>
          <w:tcPr>
            <w:tcW w:w="113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2693"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年产30万吨电池新材料前驱体</w:t>
            </w:r>
          </w:p>
        </w:tc>
        <w:tc>
          <w:tcPr>
            <w:tcW w:w="2045" w:type="dxa"/>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89" w:type="dxa"/>
            <w:vMerge w:val="continue"/>
            <w:vAlign w:val="center"/>
          </w:tcPr>
          <w:p>
            <w:pPr>
              <w:spacing w:line="240" w:lineRule="auto"/>
              <w:ind w:firstLine="0" w:firstLineChars="0"/>
              <w:jc w:val="center"/>
              <w:rPr>
                <w:rFonts w:ascii="黑体" w:hAnsi="黑体" w:eastAsia="黑体"/>
                <w:sz w:val="18"/>
                <w:szCs w:val="18"/>
              </w:rPr>
            </w:pPr>
          </w:p>
        </w:tc>
        <w:tc>
          <w:tcPr>
            <w:tcW w:w="85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3</w:t>
            </w:r>
          </w:p>
        </w:tc>
        <w:tc>
          <w:tcPr>
            <w:tcW w:w="1135"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云南云聚能</w:t>
            </w:r>
          </w:p>
        </w:tc>
        <w:tc>
          <w:tcPr>
            <w:tcW w:w="113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2693"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年产20万吨新能源电池前驱体</w:t>
            </w:r>
          </w:p>
        </w:tc>
        <w:tc>
          <w:tcPr>
            <w:tcW w:w="2045" w:type="dxa"/>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89" w:type="dxa"/>
            <w:vMerge w:val="continue"/>
            <w:vAlign w:val="center"/>
          </w:tcPr>
          <w:p>
            <w:pPr>
              <w:spacing w:line="240" w:lineRule="auto"/>
              <w:ind w:firstLine="0" w:firstLineChars="0"/>
              <w:jc w:val="center"/>
              <w:rPr>
                <w:rFonts w:ascii="黑体" w:hAnsi="黑体" w:eastAsia="黑体"/>
                <w:sz w:val="18"/>
                <w:szCs w:val="18"/>
              </w:rPr>
            </w:pPr>
          </w:p>
        </w:tc>
        <w:tc>
          <w:tcPr>
            <w:tcW w:w="85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4</w:t>
            </w:r>
          </w:p>
        </w:tc>
        <w:tc>
          <w:tcPr>
            <w:tcW w:w="1135"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云南友天新能源</w:t>
            </w:r>
          </w:p>
        </w:tc>
        <w:tc>
          <w:tcPr>
            <w:tcW w:w="113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2693"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年产50万吨磷酸铁锂</w:t>
            </w:r>
          </w:p>
        </w:tc>
        <w:tc>
          <w:tcPr>
            <w:tcW w:w="2045" w:type="dxa"/>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89" w:type="dxa"/>
            <w:vMerge w:val="continue"/>
            <w:vAlign w:val="center"/>
          </w:tcPr>
          <w:p>
            <w:pPr>
              <w:spacing w:line="240" w:lineRule="auto"/>
              <w:ind w:firstLine="0" w:firstLineChars="0"/>
              <w:jc w:val="center"/>
              <w:rPr>
                <w:rFonts w:ascii="黑体" w:hAnsi="黑体" w:eastAsia="黑体"/>
                <w:sz w:val="18"/>
                <w:szCs w:val="18"/>
              </w:rPr>
            </w:pPr>
          </w:p>
        </w:tc>
        <w:tc>
          <w:tcPr>
            <w:tcW w:w="85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5</w:t>
            </w:r>
          </w:p>
        </w:tc>
        <w:tc>
          <w:tcPr>
            <w:tcW w:w="1135"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云南氟磷电子</w:t>
            </w:r>
          </w:p>
        </w:tc>
        <w:tc>
          <w:tcPr>
            <w:tcW w:w="113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2693"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2万吨电子级氢氟酸，5000吨六氟磷酸锂</w:t>
            </w:r>
          </w:p>
        </w:tc>
        <w:tc>
          <w:tcPr>
            <w:tcW w:w="2045" w:type="dxa"/>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89" w:type="dxa"/>
            <w:vMerge w:val="continue"/>
            <w:vAlign w:val="center"/>
          </w:tcPr>
          <w:p>
            <w:pPr>
              <w:spacing w:line="240" w:lineRule="auto"/>
              <w:ind w:firstLine="0" w:firstLineChars="0"/>
              <w:jc w:val="center"/>
              <w:rPr>
                <w:rFonts w:ascii="黑体" w:hAnsi="黑体" w:eastAsia="黑体"/>
                <w:sz w:val="18"/>
                <w:szCs w:val="18"/>
              </w:rPr>
            </w:pPr>
          </w:p>
        </w:tc>
        <w:tc>
          <w:tcPr>
            <w:tcW w:w="85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6</w:t>
            </w:r>
          </w:p>
        </w:tc>
        <w:tc>
          <w:tcPr>
            <w:tcW w:w="1135"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云南杉杉</w:t>
            </w:r>
          </w:p>
        </w:tc>
        <w:tc>
          <w:tcPr>
            <w:tcW w:w="113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2693"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年产30万吨锂电池负极材料</w:t>
            </w:r>
          </w:p>
        </w:tc>
        <w:tc>
          <w:tcPr>
            <w:tcW w:w="2045" w:type="dxa"/>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89" w:type="dxa"/>
            <w:vMerge w:val="restar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曲靖市</w:t>
            </w:r>
          </w:p>
        </w:tc>
        <w:tc>
          <w:tcPr>
            <w:tcW w:w="85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7</w:t>
            </w:r>
          </w:p>
        </w:tc>
        <w:tc>
          <w:tcPr>
            <w:tcW w:w="1135"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德方纳米</w:t>
            </w:r>
          </w:p>
        </w:tc>
        <w:tc>
          <w:tcPr>
            <w:tcW w:w="113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9</w:t>
            </w:r>
            <w:r>
              <w:rPr>
                <w:rFonts w:ascii="黑体" w:hAnsi="黑体" w:eastAsia="黑体"/>
                <w:sz w:val="18"/>
                <w:szCs w:val="18"/>
              </w:rPr>
              <w:t>万吨纳米磷酸铁锂</w:t>
            </w:r>
          </w:p>
        </w:tc>
        <w:tc>
          <w:tcPr>
            <w:tcW w:w="2693"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年产1</w:t>
            </w:r>
            <w:r>
              <w:rPr>
                <w:rFonts w:ascii="黑体" w:hAnsi="黑体" w:eastAsia="黑体"/>
                <w:sz w:val="18"/>
                <w:szCs w:val="18"/>
              </w:rPr>
              <w:t>0</w:t>
            </w:r>
            <w:r>
              <w:rPr>
                <w:rFonts w:hint="eastAsia" w:ascii="黑体" w:hAnsi="黑体" w:eastAsia="黑体"/>
                <w:sz w:val="18"/>
                <w:szCs w:val="18"/>
              </w:rPr>
              <w:t>万吨纳米磷酸铁锂，4</w:t>
            </w:r>
            <w:r>
              <w:rPr>
                <w:rFonts w:ascii="黑体" w:hAnsi="黑体" w:eastAsia="黑体"/>
                <w:sz w:val="18"/>
                <w:szCs w:val="18"/>
              </w:rPr>
              <w:t>4</w:t>
            </w:r>
            <w:r>
              <w:rPr>
                <w:rFonts w:hint="eastAsia" w:ascii="黑体" w:hAnsi="黑体" w:eastAsia="黑体"/>
                <w:sz w:val="18"/>
                <w:szCs w:val="18"/>
              </w:rPr>
              <w:t>万吨磷酸铁锰锂，4</w:t>
            </w:r>
            <w:r>
              <w:rPr>
                <w:rFonts w:ascii="黑体" w:hAnsi="黑体" w:eastAsia="黑体"/>
                <w:sz w:val="18"/>
                <w:szCs w:val="18"/>
              </w:rPr>
              <w:t>.5</w:t>
            </w:r>
            <w:r>
              <w:rPr>
                <w:rFonts w:hint="eastAsia" w:ascii="黑体" w:hAnsi="黑体" w:eastAsia="黑体"/>
                <w:sz w:val="18"/>
                <w:szCs w:val="18"/>
              </w:rPr>
              <w:t>万吨补锂剂，2</w:t>
            </w:r>
            <w:r>
              <w:rPr>
                <w:rFonts w:ascii="黑体" w:hAnsi="黑体" w:eastAsia="黑体"/>
                <w:sz w:val="18"/>
                <w:szCs w:val="18"/>
              </w:rPr>
              <w:t>0</w:t>
            </w:r>
            <w:r>
              <w:rPr>
                <w:rFonts w:hint="eastAsia" w:ascii="黑体" w:hAnsi="黑体" w:eastAsia="黑体"/>
                <w:sz w:val="18"/>
                <w:szCs w:val="18"/>
              </w:rPr>
              <w:t>万吨前驱体</w:t>
            </w:r>
          </w:p>
        </w:tc>
        <w:tc>
          <w:tcPr>
            <w:tcW w:w="2045" w:type="dxa"/>
            <w:vMerge w:val="restar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依托德方纳米，吸引包括亿纬锂能、中科电气在内的多家锂电企业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89" w:type="dxa"/>
            <w:vMerge w:val="continue"/>
            <w:vAlign w:val="center"/>
          </w:tcPr>
          <w:p>
            <w:pPr>
              <w:spacing w:line="240" w:lineRule="auto"/>
              <w:ind w:firstLine="0" w:firstLineChars="0"/>
              <w:jc w:val="center"/>
              <w:rPr>
                <w:rFonts w:ascii="黑体" w:hAnsi="黑体" w:eastAsia="黑体"/>
                <w:sz w:val="18"/>
                <w:szCs w:val="18"/>
              </w:rPr>
            </w:pPr>
          </w:p>
        </w:tc>
        <w:tc>
          <w:tcPr>
            <w:tcW w:w="85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8</w:t>
            </w:r>
          </w:p>
        </w:tc>
        <w:tc>
          <w:tcPr>
            <w:tcW w:w="1135"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亿纬锂能</w:t>
            </w:r>
          </w:p>
        </w:tc>
        <w:tc>
          <w:tcPr>
            <w:tcW w:w="113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2693"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年产1</w:t>
            </w:r>
            <w:r>
              <w:rPr>
                <w:rFonts w:ascii="黑体" w:hAnsi="黑体" w:eastAsia="黑体"/>
                <w:sz w:val="18"/>
                <w:szCs w:val="18"/>
              </w:rPr>
              <w:t>0GW</w:t>
            </w:r>
            <w:r>
              <w:rPr>
                <w:rFonts w:hint="eastAsia" w:ascii="黑体" w:hAnsi="黑体" w:eastAsia="黑体"/>
                <w:sz w:val="18"/>
                <w:szCs w:val="18"/>
              </w:rPr>
              <w:t>h动力储能电池</w:t>
            </w:r>
          </w:p>
        </w:tc>
        <w:tc>
          <w:tcPr>
            <w:tcW w:w="2045" w:type="dxa"/>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89" w:type="dxa"/>
            <w:vMerge w:val="continue"/>
            <w:vAlign w:val="center"/>
          </w:tcPr>
          <w:p>
            <w:pPr>
              <w:spacing w:line="240" w:lineRule="auto"/>
              <w:ind w:firstLine="0" w:firstLineChars="0"/>
              <w:jc w:val="center"/>
              <w:rPr>
                <w:rFonts w:ascii="黑体" w:hAnsi="黑体" w:eastAsia="黑体"/>
                <w:sz w:val="18"/>
                <w:szCs w:val="18"/>
              </w:rPr>
            </w:pPr>
          </w:p>
        </w:tc>
        <w:tc>
          <w:tcPr>
            <w:tcW w:w="85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9</w:t>
            </w:r>
          </w:p>
        </w:tc>
        <w:tc>
          <w:tcPr>
            <w:tcW w:w="1135"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中科电气</w:t>
            </w:r>
          </w:p>
        </w:tc>
        <w:tc>
          <w:tcPr>
            <w:tcW w:w="113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2693"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年产1</w:t>
            </w:r>
            <w:r>
              <w:rPr>
                <w:rFonts w:ascii="黑体" w:hAnsi="黑体" w:eastAsia="黑体"/>
                <w:sz w:val="18"/>
                <w:szCs w:val="18"/>
              </w:rPr>
              <w:t>0</w:t>
            </w:r>
            <w:r>
              <w:rPr>
                <w:rFonts w:hint="eastAsia" w:ascii="黑体" w:hAnsi="黑体" w:eastAsia="黑体"/>
                <w:sz w:val="18"/>
                <w:szCs w:val="18"/>
              </w:rPr>
              <w:t>万吨负极材料</w:t>
            </w:r>
          </w:p>
        </w:tc>
        <w:tc>
          <w:tcPr>
            <w:tcW w:w="2045" w:type="dxa"/>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89" w:type="dxa"/>
            <w:vMerge w:val="restar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玉溪市</w:t>
            </w:r>
          </w:p>
        </w:tc>
        <w:tc>
          <w:tcPr>
            <w:tcW w:w="85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1</w:t>
            </w:r>
            <w:r>
              <w:rPr>
                <w:rFonts w:ascii="黑体" w:hAnsi="黑体" w:eastAsia="黑体"/>
                <w:sz w:val="18"/>
                <w:szCs w:val="18"/>
              </w:rPr>
              <w:t>0</w:t>
            </w:r>
          </w:p>
        </w:tc>
        <w:tc>
          <w:tcPr>
            <w:tcW w:w="1135"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河北坤天</w:t>
            </w:r>
          </w:p>
        </w:tc>
        <w:tc>
          <w:tcPr>
            <w:tcW w:w="113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2693"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年产2</w:t>
            </w:r>
            <w:r>
              <w:rPr>
                <w:rFonts w:ascii="黑体" w:hAnsi="黑体" w:eastAsia="黑体"/>
                <w:sz w:val="18"/>
                <w:szCs w:val="18"/>
              </w:rPr>
              <w:t>0</w:t>
            </w:r>
            <w:r>
              <w:rPr>
                <w:rFonts w:hint="eastAsia" w:ascii="黑体" w:hAnsi="黑体" w:eastAsia="黑体"/>
                <w:sz w:val="18"/>
                <w:szCs w:val="18"/>
              </w:rPr>
              <w:t>万吨锂电池负极材料</w:t>
            </w:r>
          </w:p>
        </w:tc>
        <w:tc>
          <w:tcPr>
            <w:tcW w:w="2045" w:type="dxa"/>
            <w:vMerge w:val="restar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依托</w:t>
            </w:r>
            <w:r>
              <w:rPr>
                <w:rFonts w:ascii="黑体" w:hAnsi="黑体" w:eastAsia="黑体"/>
                <w:sz w:val="18"/>
                <w:szCs w:val="18"/>
              </w:rPr>
              <w:t>铁、铜、磷、镍、锂等矿产资源</w:t>
            </w:r>
            <w:r>
              <w:rPr>
                <w:rFonts w:hint="eastAsia" w:ascii="黑体" w:hAnsi="黑体" w:eastAsia="黑体"/>
                <w:sz w:val="18"/>
                <w:szCs w:val="18"/>
              </w:rPr>
              <w:t>，实现亿资源换产业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89" w:type="dxa"/>
            <w:vMerge w:val="continue"/>
            <w:vAlign w:val="center"/>
          </w:tcPr>
          <w:p>
            <w:pPr>
              <w:spacing w:line="240" w:lineRule="auto"/>
              <w:ind w:firstLine="0" w:firstLineChars="0"/>
              <w:jc w:val="center"/>
              <w:rPr>
                <w:rFonts w:ascii="黑体" w:hAnsi="黑体" w:eastAsia="黑体"/>
                <w:sz w:val="18"/>
                <w:szCs w:val="18"/>
              </w:rPr>
            </w:pPr>
          </w:p>
        </w:tc>
        <w:tc>
          <w:tcPr>
            <w:tcW w:w="85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1</w:t>
            </w:r>
            <w:r>
              <w:rPr>
                <w:rFonts w:ascii="黑体" w:hAnsi="黑体" w:eastAsia="黑体"/>
                <w:sz w:val="18"/>
                <w:szCs w:val="18"/>
              </w:rPr>
              <w:t>1</w:t>
            </w:r>
          </w:p>
        </w:tc>
        <w:tc>
          <w:tcPr>
            <w:tcW w:w="1135"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恩捷股份</w:t>
            </w:r>
          </w:p>
        </w:tc>
        <w:tc>
          <w:tcPr>
            <w:tcW w:w="1131" w:type="dxa"/>
            <w:vAlign w:val="center"/>
          </w:tcPr>
          <w:p>
            <w:pPr>
              <w:spacing w:line="240" w:lineRule="auto"/>
              <w:ind w:firstLine="0" w:firstLineChars="0"/>
              <w:jc w:val="center"/>
              <w:rPr>
                <w:rFonts w:ascii="黑体" w:hAnsi="黑体" w:eastAsia="黑体"/>
                <w:sz w:val="18"/>
                <w:szCs w:val="18"/>
              </w:rPr>
            </w:pPr>
          </w:p>
        </w:tc>
        <w:tc>
          <w:tcPr>
            <w:tcW w:w="2693"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年产16亿平基膜涂覆一体化</w:t>
            </w:r>
          </w:p>
        </w:tc>
        <w:tc>
          <w:tcPr>
            <w:tcW w:w="2045" w:type="dxa"/>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89" w:type="dxa"/>
            <w:vMerge w:val="continue"/>
            <w:vAlign w:val="center"/>
          </w:tcPr>
          <w:p>
            <w:pPr>
              <w:spacing w:line="240" w:lineRule="auto"/>
              <w:ind w:firstLine="0" w:firstLineChars="0"/>
              <w:jc w:val="center"/>
              <w:rPr>
                <w:rFonts w:ascii="黑体" w:hAnsi="黑体" w:eastAsia="黑体"/>
                <w:sz w:val="18"/>
                <w:szCs w:val="18"/>
              </w:rPr>
            </w:pPr>
          </w:p>
        </w:tc>
        <w:tc>
          <w:tcPr>
            <w:tcW w:w="85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1</w:t>
            </w:r>
            <w:r>
              <w:rPr>
                <w:rFonts w:ascii="黑体" w:hAnsi="黑体" w:eastAsia="黑体"/>
                <w:sz w:val="18"/>
                <w:szCs w:val="18"/>
              </w:rPr>
              <w:t>2</w:t>
            </w:r>
          </w:p>
        </w:tc>
        <w:tc>
          <w:tcPr>
            <w:tcW w:w="1135"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亿纬锂能</w:t>
            </w:r>
          </w:p>
        </w:tc>
        <w:tc>
          <w:tcPr>
            <w:tcW w:w="113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2693"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年产1</w:t>
            </w:r>
            <w:r>
              <w:rPr>
                <w:rFonts w:ascii="黑体" w:hAnsi="黑体" w:eastAsia="黑体"/>
                <w:sz w:val="18"/>
                <w:szCs w:val="18"/>
              </w:rPr>
              <w:t>0GWh</w:t>
            </w:r>
            <w:r>
              <w:rPr>
                <w:rFonts w:hint="eastAsia" w:ascii="黑体" w:hAnsi="黑体" w:eastAsia="黑体"/>
                <w:sz w:val="18"/>
                <w:szCs w:val="18"/>
              </w:rPr>
              <w:t>动力储能电池</w:t>
            </w:r>
          </w:p>
        </w:tc>
        <w:tc>
          <w:tcPr>
            <w:tcW w:w="2045" w:type="dxa"/>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89"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大理市</w:t>
            </w:r>
          </w:p>
        </w:tc>
        <w:tc>
          <w:tcPr>
            <w:tcW w:w="85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1</w:t>
            </w:r>
            <w:r>
              <w:rPr>
                <w:rFonts w:ascii="黑体" w:hAnsi="黑体" w:eastAsia="黑体"/>
                <w:sz w:val="18"/>
                <w:szCs w:val="18"/>
              </w:rPr>
              <w:t>3</w:t>
            </w:r>
          </w:p>
        </w:tc>
        <w:tc>
          <w:tcPr>
            <w:tcW w:w="1135"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贝特瑞</w:t>
            </w:r>
          </w:p>
        </w:tc>
        <w:tc>
          <w:tcPr>
            <w:tcW w:w="1131"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2693"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年产2</w:t>
            </w:r>
            <w:r>
              <w:rPr>
                <w:rFonts w:ascii="黑体" w:hAnsi="黑体" w:eastAsia="黑体"/>
                <w:sz w:val="18"/>
                <w:szCs w:val="18"/>
              </w:rPr>
              <w:t>0</w:t>
            </w:r>
            <w:r>
              <w:rPr>
                <w:rFonts w:hint="eastAsia" w:ascii="黑体" w:hAnsi="黑体" w:eastAsia="黑体"/>
                <w:sz w:val="18"/>
                <w:szCs w:val="18"/>
              </w:rPr>
              <w:t>万吨锂电池负极材料</w:t>
            </w:r>
          </w:p>
        </w:tc>
        <w:tc>
          <w:tcPr>
            <w:tcW w:w="2045" w:type="dxa"/>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区域内丰富的焦炭资源</w:t>
            </w:r>
          </w:p>
        </w:tc>
      </w:tr>
    </w:tbl>
    <w:p>
      <w:pPr>
        <w:spacing w:before="240" w:beforeLines="100"/>
        <w:ind w:firstLine="562"/>
      </w:pPr>
      <w:r>
        <w:rPr>
          <w:rFonts w:hint="eastAsia"/>
          <w:b/>
          <w:bCs/>
        </w:rPr>
        <w:t>发展规划：</w:t>
      </w:r>
      <w:r>
        <w:rPr>
          <w:rFonts w:hint="eastAsia"/>
        </w:rPr>
        <w:t>云南省提出以昆明市（滇中新区）、曲靖市、玉溪市为发展重点，围绕锂电全产业链</w:t>
      </w:r>
      <w:r>
        <w:t>大力发展</w:t>
      </w:r>
      <w:r>
        <w:rPr>
          <w:rFonts w:hint="eastAsia"/>
        </w:rPr>
        <w:t>包括</w:t>
      </w:r>
      <w:r>
        <w:t>磷酸铁锂、三元</w:t>
      </w:r>
      <w:r>
        <w:rPr>
          <w:rFonts w:hint="eastAsia"/>
        </w:rPr>
        <w:t>材料在内的多种正极材料，积极</w:t>
      </w:r>
      <w:r>
        <w:t>布局</w:t>
      </w:r>
      <w:r>
        <w:rPr>
          <w:rFonts w:hint="eastAsia"/>
        </w:rPr>
        <w:t>以石墨、</w:t>
      </w:r>
      <w:r>
        <w:t>氧化亚硅</w:t>
      </w:r>
      <w:r>
        <w:rPr>
          <w:rFonts w:hint="eastAsia"/>
        </w:rPr>
        <w:t>为代表的</w:t>
      </w:r>
      <w:r>
        <w:t>负极材料，</w:t>
      </w:r>
      <w:r>
        <w:rPr>
          <w:rFonts w:hint="eastAsia"/>
        </w:rPr>
        <w:t>协同推进</w:t>
      </w:r>
      <w:r>
        <w:t>电解液、隔膜、铜箔、铝箔等电池材料</w:t>
      </w:r>
      <w:r>
        <w:rPr>
          <w:rFonts w:hint="eastAsia"/>
        </w:rPr>
        <w:t>的发展，积极引进</w:t>
      </w:r>
      <w:r>
        <w:t>铝塑膜、电池结构件、补锂剂等</w:t>
      </w:r>
      <w:r>
        <w:rPr>
          <w:rFonts w:hint="eastAsia"/>
        </w:rPr>
        <w:t>锂电材料项目</w:t>
      </w:r>
      <w:r>
        <w:t>。</w:t>
      </w:r>
      <w:r>
        <w:rPr>
          <w:rFonts w:hint="eastAsia"/>
        </w:rPr>
        <w:t>到2024年，新能源产业链产值突破1</w:t>
      </w:r>
      <w:r>
        <w:t>000</w:t>
      </w:r>
      <w:r>
        <w:rPr>
          <w:rFonts w:hint="eastAsia"/>
        </w:rPr>
        <w:t>亿元，形成100万吨正极材料、50万吨负极材料、15亿平方米电池隔膜、20万吨电解液、9万吨铜箔、50GWh动力电池及储能电池、20万吨电池绿色循环利用的产能规模。</w:t>
      </w:r>
    </w:p>
    <w:p>
      <w:pPr>
        <w:ind w:firstLine="562"/>
      </w:pPr>
      <w:r>
        <w:rPr>
          <w:rFonts w:hint="eastAsia"/>
          <w:b/>
          <w:bCs/>
        </w:rPr>
        <w:t>出台政策：</w:t>
      </w:r>
      <w:r>
        <w:t>《云南省新能源电池产业发展三年行动计划（2022—2024年）》</w:t>
      </w:r>
      <w:r>
        <w:rPr>
          <w:rFonts w:hint="eastAsia"/>
        </w:rPr>
        <w:t>、</w:t>
      </w:r>
      <w:r>
        <w:t>《昆明市新能源电池产业发展三年行动方案（2022—2024年）》</w:t>
      </w:r>
      <w:r>
        <w:rPr>
          <w:rFonts w:hint="eastAsia"/>
        </w:rPr>
        <w:t>、</w:t>
      </w:r>
      <w:r>
        <w:t>《关于支持新能源电池产业发展的指导意见》</w:t>
      </w:r>
      <w:r>
        <w:rPr>
          <w:rFonts w:hint="eastAsia"/>
        </w:rPr>
        <w:t>、《玉溪市“十四五”工业倍增实施方案》、</w:t>
      </w:r>
      <w:r>
        <w:t>《大理州</w:t>
      </w:r>
      <w:r>
        <w:rPr>
          <w:rFonts w:hint="eastAsia"/>
        </w:rPr>
        <w:t>“</w:t>
      </w:r>
      <w:r>
        <w:t>十四五</w:t>
      </w:r>
      <w:r>
        <w:rPr>
          <w:rFonts w:hint="eastAsia"/>
        </w:rPr>
        <w:t>”</w:t>
      </w:r>
      <w:r>
        <w:t>先进制造业发展规划》</w:t>
      </w:r>
      <w:r>
        <w:rPr>
          <w:rFonts w:hint="eastAsia"/>
        </w:rPr>
        <w:t>、《曲靖市绿色能源发展“十四五”规划》。</w:t>
      </w:r>
    </w:p>
    <w:p>
      <w:pPr>
        <w:ind w:firstLine="562"/>
      </w:pPr>
      <w:r>
        <w:rPr>
          <w:rFonts w:hint="eastAsia"/>
          <w:b/>
          <w:bCs/>
        </w:rPr>
        <w:t>经验借鉴：</w:t>
      </w:r>
      <w:r>
        <w:rPr>
          <w:rFonts w:hint="eastAsia"/>
        </w:rPr>
        <w:t>云南紧紧依托区域内锂矿、磷矿等资源优势，围绕新能源锂电产业链，积极引入锂电全产业链相关龙头企业，在龙头企业带动下，形成了以相关区域为主点，错位发展、协同互补的新能源锂电产业发展区域竞争格局。为确保项目实施落地，云南省组建工作专班，对项目跟踪服务。另外，云南省瞄准锂电产业头部企业，实行精准招商，增强产业发展后劲，加快推进新能源锂电产业的强链、补链、延链。</w:t>
      </w:r>
    </w:p>
    <w:p>
      <w:pPr>
        <w:pStyle w:val="4"/>
        <w:ind w:left="412"/>
      </w:pPr>
      <w:bookmarkStart w:id="40" w:name="_Toc118298119"/>
      <w:r>
        <w:rPr>
          <w:rFonts w:hint="eastAsia"/>
        </w:rPr>
        <w:t>（二）四川省</w:t>
      </w:r>
      <w:bookmarkEnd w:id="40"/>
    </w:p>
    <w:p>
      <w:pPr>
        <w:ind w:firstLine="562"/>
      </w:pPr>
      <w:r>
        <w:rPr>
          <w:rFonts w:hint="eastAsia"/>
          <w:b/>
          <w:bCs/>
        </w:rPr>
        <w:t>发展现状：</w:t>
      </w:r>
      <w:r>
        <w:rPr>
          <w:rFonts w:hint="eastAsia"/>
        </w:rPr>
        <w:t>四川拥有丰富的锂辉石资源，截至2021年底，查明氧化锂资源量超400万吨，位居全国之首</w:t>
      </w:r>
      <w:r>
        <w:rPr>
          <w:rFonts w:hint="eastAsia"/>
          <w:b/>
          <w:bCs/>
        </w:rPr>
        <w:t>。</w:t>
      </w:r>
      <w:r>
        <w:rPr>
          <w:rFonts w:hint="eastAsia"/>
        </w:rPr>
        <w:t>凭借丰富的矿产资源和优惠的政策，四川成为中国锂电企业的重要聚集地，吸引了包括天齐锂业、湖南裕能、宁德时代、蜂巢能源等在内的多家锂电企业在四川布局，锂产业链也逐渐增强。近年来四川省锂电产业快速发展，目前已聚集了上游资源开发、中游四大材料生产、下游电芯制造及回收利用产业链企业100余家，具备锂矿石开采能力150万吨，基础锂盐产能24万吨，正负极材料产能125万吨，建成动力电池产能100GWh以上，形成了以宜宾市为主导，成都市、遂宁市、眉山市、甘孜藏族自治州、阿坝藏族羌族自治州等协同发展的格局。</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1017"/>
        <w:gridCol w:w="978"/>
        <w:gridCol w:w="1636"/>
        <w:gridCol w:w="2196"/>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559" w:type="pct"/>
            <w:shd w:val="clear" w:color="auto" w:fill="5B9BD5" w:themeFill="accent5"/>
            <w:vAlign w:val="center"/>
          </w:tcPr>
          <w:p>
            <w:pPr>
              <w:spacing w:line="240" w:lineRule="auto"/>
              <w:ind w:firstLine="0" w:firstLineChars="0"/>
              <w:jc w:val="center"/>
              <w:rPr>
                <w:rFonts w:ascii="黑体" w:hAnsi="黑体" w:eastAsia="黑体"/>
                <w:b/>
                <w:bCs/>
                <w:color w:val="FFFFFF" w:themeColor="background1"/>
                <w:sz w:val="18"/>
                <w:szCs w:val="18"/>
                <w14:textFill>
                  <w14:solidFill>
                    <w14:schemeClr w14:val="bg1"/>
                  </w14:solidFill>
                </w14:textFill>
              </w:rPr>
            </w:pPr>
            <w:r>
              <w:rPr>
                <w:rFonts w:hint="eastAsia" w:ascii="黑体" w:hAnsi="黑体" w:eastAsia="黑体"/>
                <w:b/>
                <w:bCs/>
                <w:color w:val="FFFFFF" w:themeColor="background1"/>
                <w:sz w:val="18"/>
                <w:szCs w:val="18"/>
                <w14:textFill>
                  <w14:solidFill>
                    <w14:schemeClr w14:val="bg1"/>
                  </w14:solidFill>
                </w14:textFill>
              </w:rPr>
              <w:t>所在地区</w:t>
            </w:r>
          </w:p>
        </w:tc>
        <w:tc>
          <w:tcPr>
            <w:tcW w:w="561" w:type="pct"/>
            <w:shd w:val="clear" w:color="auto" w:fill="5B9BD5" w:themeFill="accent5"/>
            <w:vAlign w:val="center"/>
          </w:tcPr>
          <w:p>
            <w:pPr>
              <w:spacing w:line="240" w:lineRule="auto"/>
              <w:ind w:firstLine="0" w:firstLineChars="0"/>
              <w:jc w:val="center"/>
              <w:rPr>
                <w:rFonts w:ascii="黑体" w:hAnsi="黑体" w:eastAsia="黑体"/>
                <w:b/>
                <w:bCs/>
                <w:color w:val="FFFFFF" w:themeColor="background1"/>
                <w:sz w:val="18"/>
                <w:szCs w:val="18"/>
                <w14:textFill>
                  <w14:solidFill>
                    <w14:schemeClr w14:val="bg1"/>
                  </w14:solidFill>
                </w14:textFill>
              </w:rPr>
            </w:pPr>
            <w:r>
              <w:rPr>
                <w:rFonts w:hint="eastAsia" w:ascii="黑体" w:hAnsi="黑体" w:eastAsia="黑体"/>
                <w:b/>
                <w:bCs/>
                <w:color w:val="FFFFFF" w:themeColor="background1"/>
                <w:sz w:val="18"/>
                <w:szCs w:val="18"/>
                <w14:textFill>
                  <w14:solidFill>
                    <w14:schemeClr w14:val="bg1"/>
                  </w14:solidFill>
                </w14:textFill>
              </w:rPr>
              <w:t>序号</w:t>
            </w:r>
          </w:p>
        </w:tc>
        <w:tc>
          <w:tcPr>
            <w:tcW w:w="540" w:type="pct"/>
            <w:shd w:val="clear" w:color="auto" w:fill="5B9BD5" w:themeFill="accent5"/>
            <w:vAlign w:val="center"/>
          </w:tcPr>
          <w:p>
            <w:pPr>
              <w:spacing w:line="240" w:lineRule="auto"/>
              <w:ind w:firstLine="0" w:firstLineChars="0"/>
              <w:jc w:val="center"/>
              <w:rPr>
                <w:rFonts w:ascii="黑体" w:hAnsi="黑体" w:eastAsia="黑体"/>
                <w:b/>
                <w:bCs/>
                <w:color w:val="FFFFFF" w:themeColor="background1"/>
                <w:sz w:val="18"/>
                <w:szCs w:val="18"/>
                <w14:textFill>
                  <w14:solidFill>
                    <w14:schemeClr w14:val="bg1"/>
                  </w14:solidFill>
                </w14:textFill>
              </w:rPr>
            </w:pPr>
            <w:r>
              <w:rPr>
                <w:rFonts w:hint="eastAsia" w:ascii="黑体" w:hAnsi="黑体" w:eastAsia="黑体"/>
                <w:b/>
                <w:bCs/>
                <w:color w:val="FFFFFF" w:themeColor="background1"/>
                <w:sz w:val="18"/>
                <w:szCs w:val="18"/>
                <w14:textFill>
                  <w14:solidFill>
                    <w14:schemeClr w14:val="bg1"/>
                  </w14:solidFill>
                </w14:textFill>
              </w:rPr>
              <w:t>公司名称</w:t>
            </w:r>
          </w:p>
        </w:tc>
        <w:tc>
          <w:tcPr>
            <w:tcW w:w="903" w:type="pct"/>
            <w:shd w:val="clear" w:color="auto" w:fill="5B9BD5" w:themeFill="accent5"/>
            <w:vAlign w:val="center"/>
          </w:tcPr>
          <w:p>
            <w:pPr>
              <w:spacing w:line="240" w:lineRule="auto"/>
              <w:ind w:firstLine="0" w:firstLineChars="0"/>
              <w:jc w:val="center"/>
              <w:rPr>
                <w:rFonts w:ascii="黑体" w:hAnsi="黑体" w:eastAsia="黑体"/>
                <w:b/>
                <w:bCs/>
                <w:color w:val="FFFFFF" w:themeColor="background1"/>
                <w:sz w:val="18"/>
                <w:szCs w:val="18"/>
                <w14:textFill>
                  <w14:solidFill>
                    <w14:schemeClr w14:val="bg1"/>
                  </w14:solidFill>
                </w14:textFill>
              </w:rPr>
            </w:pPr>
            <w:r>
              <w:rPr>
                <w:rFonts w:hint="eastAsia" w:ascii="黑体" w:hAnsi="黑体" w:eastAsia="黑体"/>
                <w:b/>
                <w:bCs/>
                <w:color w:val="FFFFFF" w:themeColor="background1"/>
                <w:sz w:val="18"/>
                <w:szCs w:val="18"/>
                <w14:textFill>
                  <w14:solidFill>
                    <w14:schemeClr w14:val="bg1"/>
                  </w14:solidFill>
                </w14:textFill>
              </w:rPr>
              <w:t>现有产能</w:t>
            </w:r>
          </w:p>
        </w:tc>
        <w:tc>
          <w:tcPr>
            <w:tcW w:w="1212" w:type="pct"/>
            <w:shd w:val="clear" w:color="auto" w:fill="5B9BD5" w:themeFill="accent5"/>
            <w:vAlign w:val="center"/>
          </w:tcPr>
          <w:p>
            <w:pPr>
              <w:spacing w:line="240" w:lineRule="auto"/>
              <w:ind w:firstLine="0" w:firstLineChars="0"/>
              <w:jc w:val="center"/>
              <w:rPr>
                <w:rFonts w:ascii="黑体" w:hAnsi="黑体" w:eastAsia="黑体"/>
                <w:b/>
                <w:bCs/>
                <w:color w:val="FFFFFF" w:themeColor="background1"/>
                <w:sz w:val="18"/>
                <w:szCs w:val="18"/>
                <w14:textFill>
                  <w14:solidFill>
                    <w14:schemeClr w14:val="bg1"/>
                  </w14:solidFill>
                </w14:textFill>
              </w:rPr>
            </w:pPr>
            <w:r>
              <w:rPr>
                <w:rFonts w:hint="eastAsia" w:ascii="黑体" w:hAnsi="黑体" w:eastAsia="黑体"/>
                <w:b/>
                <w:bCs/>
                <w:color w:val="FFFFFF" w:themeColor="background1"/>
                <w:sz w:val="18"/>
                <w:szCs w:val="18"/>
                <w14:textFill>
                  <w14:solidFill>
                    <w14:schemeClr w14:val="bg1"/>
                  </w14:solidFill>
                </w14:textFill>
              </w:rPr>
              <w:t>未来规划</w:t>
            </w:r>
          </w:p>
        </w:tc>
        <w:tc>
          <w:tcPr>
            <w:tcW w:w="1225" w:type="pct"/>
            <w:shd w:val="clear" w:color="auto" w:fill="5B9BD5" w:themeFill="accent5"/>
            <w:vAlign w:val="center"/>
          </w:tcPr>
          <w:p>
            <w:pPr>
              <w:spacing w:line="240" w:lineRule="auto"/>
              <w:ind w:firstLine="0" w:firstLineChars="0"/>
              <w:jc w:val="center"/>
              <w:rPr>
                <w:rFonts w:ascii="黑体" w:hAnsi="黑体" w:eastAsia="黑体"/>
                <w:b/>
                <w:bCs/>
                <w:color w:val="FFFFFF" w:themeColor="background1"/>
                <w:sz w:val="18"/>
                <w:szCs w:val="18"/>
                <w14:textFill>
                  <w14:solidFill>
                    <w14:schemeClr w14:val="bg1"/>
                  </w14:solidFill>
                </w14:textFill>
              </w:rPr>
            </w:pPr>
            <w:r>
              <w:rPr>
                <w:rFonts w:hint="eastAsia" w:ascii="黑体" w:hAnsi="黑体" w:eastAsia="黑体"/>
                <w:b/>
                <w:bCs/>
                <w:color w:val="FFFFFF" w:themeColor="background1"/>
                <w:sz w:val="18"/>
                <w:szCs w:val="18"/>
                <w14:textFill>
                  <w14:solidFill>
                    <w14:schemeClr w14:val="bg1"/>
                  </w14:solidFill>
                </w14:textFill>
              </w:rPr>
              <w:t>发展启示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59" w:type="pct"/>
            <w:vMerge w:val="restar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成都市</w:t>
            </w:r>
          </w:p>
        </w:tc>
        <w:tc>
          <w:tcPr>
            <w:tcW w:w="561"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1</w:t>
            </w:r>
          </w:p>
        </w:tc>
        <w:tc>
          <w:tcPr>
            <w:tcW w:w="540"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亿纬锂能</w:t>
            </w:r>
          </w:p>
        </w:tc>
        <w:tc>
          <w:tcPr>
            <w:tcW w:w="903"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1212"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年产50G</w:t>
            </w:r>
            <w:r>
              <w:rPr>
                <w:rFonts w:ascii="黑体" w:hAnsi="黑体" w:eastAsia="黑体"/>
                <w:sz w:val="18"/>
                <w:szCs w:val="18"/>
              </w:rPr>
              <w:t>Wh</w:t>
            </w:r>
            <w:r>
              <w:rPr>
                <w:rFonts w:hint="eastAsia" w:ascii="黑体" w:hAnsi="黑体" w:eastAsia="黑体"/>
                <w:sz w:val="18"/>
                <w:szCs w:val="18"/>
              </w:rPr>
              <w:t>动力储能电池</w:t>
            </w:r>
          </w:p>
        </w:tc>
        <w:tc>
          <w:tcPr>
            <w:tcW w:w="1225" w:type="pct"/>
            <w:vMerge w:val="restar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依托区位优势和水电价格优势，形成了锂离子电池制造集聚区，吸引包括中创新航、亿纬锂能、蜂巢能源等在内的多家锂电企业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59" w:type="pct"/>
            <w:vMerge w:val="continue"/>
            <w:vAlign w:val="center"/>
          </w:tcPr>
          <w:p>
            <w:pPr>
              <w:spacing w:line="240" w:lineRule="auto"/>
              <w:ind w:firstLine="0" w:firstLineChars="0"/>
              <w:jc w:val="center"/>
              <w:rPr>
                <w:rFonts w:ascii="黑体" w:hAnsi="黑体" w:eastAsia="黑体"/>
                <w:sz w:val="18"/>
                <w:szCs w:val="18"/>
              </w:rPr>
            </w:pPr>
          </w:p>
        </w:tc>
        <w:tc>
          <w:tcPr>
            <w:tcW w:w="561"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2</w:t>
            </w:r>
          </w:p>
        </w:tc>
        <w:tc>
          <w:tcPr>
            <w:tcW w:w="540"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蜂巢能源</w:t>
            </w:r>
          </w:p>
        </w:tc>
        <w:tc>
          <w:tcPr>
            <w:tcW w:w="903"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1212"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w:t>
            </w:r>
            <w:r>
              <w:rPr>
                <w:rFonts w:ascii="黑体" w:hAnsi="黑体" w:eastAsia="黑体"/>
                <w:sz w:val="18"/>
                <w:szCs w:val="18"/>
              </w:rPr>
              <w:t>60GW</w:t>
            </w:r>
            <w:r>
              <w:rPr>
                <w:rFonts w:hint="eastAsia" w:ascii="黑体" w:hAnsi="黑体" w:eastAsia="黑体"/>
                <w:sz w:val="18"/>
                <w:szCs w:val="18"/>
              </w:rPr>
              <w:t>h动力电池</w:t>
            </w:r>
          </w:p>
        </w:tc>
        <w:tc>
          <w:tcPr>
            <w:tcW w:w="1225" w:type="pct"/>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59" w:type="pct"/>
            <w:vMerge w:val="continue"/>
            <w:vAlign w:val="center"/>
          </w:tcPr>
          <w:p>
            <w:pPr>
              <w:spacing w:line="240" w:lineRule="auto"/>
              <w:ind w:firstLine="0" w:firstLineChars="0"/>
              <w:jc w:val="center"/>
              <w:rPr>
                <w:rFonts w:ascii="黑体" w:hAnsi="黑体" w:eastAsia="黑体"/>
                <w:sz w:val="18"/>
                <w:szCs w:val="18"/>
              </w:rPr>
            </w:pPr>
          </w:p>
        </w:tc>
        <w:tc>
          <w:tcPr>
            <w:tcW w:w="561"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3</w:t>
            </w:r>
          </w:p>
        </w:tc>
        <w:tc>
          <w:tcPr>
            <w:tcW w:w="540"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中航锂电</w:t>
            </w:r>
          </w:p>
        </w:tc>
        <w:tc>
          <w:tcPr>
            <w:tcW w:w="903"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1212"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年产5</w:t>
            </w:r>
            <w:r>
              <w:rPr>
                <w:rFonts w:ascii="黑体" w:hAnsi="黑体" w:eastAsia="黑体"/>
                <w:sz w:val="18"/>
                <w:szCs w:val="18"/>
              </w:rPr>
              <w:t>0GW</w:t>
            </w:r>
            <w:r>
              <w:rPr>
                <w:rFonts w:hint="eastAsia" w:ascii="黑体" w:hAnsi="黑体" w:eastAsia="黑体"/>
                <w:sz w:val="18"/>
                <w:szCs w:val="18"/>
              </w:rPr>
              <w:t>h动力及储能电池</w:t>
            </w:r>
          </w:p>
        </w:tc>
        <w:tc>
          <w:tcPr>
            <w:tcW w:w="1225" w:type="pct"/>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59" w:type="pct"/>
            <w:vMerge w:val="continue"/>
            <w:vAlign w:val="center"/>
          </w:tcPr>
          <w:p>
            <w:pPr>
              <w:spacing w:line="240" w:lineRule="auto"/>
              <w:ind w:firstLine="0" w:firstLineChars="0"/>
              <w:jc w:val="center"/>
              <w:rPr>
                <w:rFonts w:ascii="黑体" w:hAnsi="黑体" w:eastAsia="黑体"/>
                <w:sz w:val="18"/>
                <w:szCs w:val="18"/>
              </w:rPr>
            </w:pPr>
          </w:p>
        </w:tc>
        <w:tc>
          <w:tcPr>
            <w:tcW w:w="561"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4</w:t>
            </w:r>
          </w:p>
        </w:tc>
        <w:tc>
          <w:tcPr>
            <w:tcW w:w="540"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璞泰来</w:t>
            </w:r>
          </w:p>
        </w:tc>
        <w:tc>
          <w:tcPr>
            <w:tcW w:w="903"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1212"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年产2</w:t>
            </w:r>
            <w:r>
              <w:rPr>
                <w:rFonts w:ascii="黑体" w:hAnsi="黑体" w:eastAsia="黑体"/>
                <w:sz w:val="18"/>
                <w:szCs w:val="18"/>
              </w:rPr>
              <w:t>0</w:t>
            </w:r>
            <w:r>
              <w:rPr>
                <w:rFonts w:hint="eastAsia" w:ascii="黑体" w:hAnsi="黑体" w:eastAsia="黑体"/>
                <w:sz w:val="18"/>
                <w:szCs w:val="18"/>
              </w:rPr>
              <w:t>万吨负极材料和石墨一体化</w:t>
            </w:r>
          </w:p>
        </w:tc>
        <w:tc>
          <w:tcPr>
            <w:tcW w:w="1225" w:type="pct"/>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59" w:type="pct"/>
            <w:vMerge w:val="restar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宜宾市</w:t>
            </w:r>
          </w:p>
        </w:tc>
        <w:tc>
          <w:tcPr>
            <w:tcW w:w="561"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5</w:t>
            </w:r>
          </w:p>
        </w:tc>
        <w:tc>
          <w:tcPr>
            <w:tcW w:w="540"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宁德时代</w:t>
            </w:r>
          </w:p>
        </w:tc>
        <w:tc>
          <w:tcPr>
            <w:tcW w:w="903"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7</w:t>
            </w:r>
            <w:r>
              <w:rPr>
                <w:rFonts w:ascii="黑体" w:hAnsi="黑体" w:eastAsia="黑体"/>
                <w:sz w:val="18"/>
                <w:szCs w:val="18"/>
              </w:rPr>
              <w:t>5GWh</w:t>
            </w:r>
            <w:r>
              <w:rPr>
                <w:rFonts w:hint="eastAsia" w:ascii="黑体" w:hAnsi="黑体" w:eastAsia="黑体"/>
                <w:sz w:val="18"/>
                <w:szCs w:val="18"/>
              </w:rPr>
              <w:t>动力电池</w:t>
            </w:r>
          </w:p>
        </w:tc>
        <w:tc>
          <w:tcPr>
            <w:tcW w:w="1212"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1</w:t>
            </w:r>
            <w:r>
              <w:rPr>
                <w:rFonts w:ascii="黑体" w:hAnsi="黑体" w:eastAsia="黑体"/>
                <w:sz w:val="18"/>
                <w:szCs w:val="18"/>
              </w:rPr>
              <w:t>50GWh</w:t>
            </w:r>
            <w:r>
              <w:rPr>
                <w:rFonts w:hint="eastAsia" w:ascii="黑体" w:hAnsi="黑体" w:eastAsia="黑体"/>
                <w:sz w:val="18"/>
                <w:szCs w:val="18"/>
              </w:rPr>
              <w:t>动力电池</w:t>
            </w:r>
          </w:p>
        </w:tc>
        <w:tc>
          <w:tcPr>
            <w:tcW w:w="1225" w:type="pct"/>
            <w:vMerge w:val="restar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通过大力开展基金招商、产业链招商，先后引入多家锂电龙头企业；依托宁德时代，建立起涵盖上游基础原材料到6大组件再到新能源汽车整车、电池回收循环利用的动力电池绿色闭环全产业链生态圈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59" w:type="pct"/>
            <w:vMerge w:val="continue"/>
            <w:vAlign w:val="center"/>
          </w:tcPr>
          <w:p>
            <w:pPr>
              <w:spacing w:line="240" w:lineRule="auto"/>
              <w:ind w:firstLine="0" w:firstLineChars="0"/>
              <w:jc w:val="center"/>
              <w:rPr>
                <w:rFonts w:ascii="黑体" w:hAnsi="黑体" w:eastAsia="黑体"/>
                <w:sz w:val="18"/>
                <w:szCs w:val="18"/>
              </w:rPr>
            </w:pPr>
          </w:p>
        </w:tc>
        <w:tc>
          <w:tcPr>
            <w:tcW w:w="561"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6</w:t>
            </w:r>
          </w:p>
        </w:tc>
        <w:tc>
          <w:tcPr>
            <w:tcW w:w="540"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宜宾锂宝</w:t>
            </w:r>
          </w:p>
        </w:tc>
        <w:tc>
          <w:tcPr>
            <w:tcW w:w="903"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3万吨三元正极材料和1万吨前驱体</w:t>
            </w:r>
          </w:p>
        </w:tc>
        <w:tc>
          <w:tcPr>
            <w:tcW w:w="1212" w:type="pct"/>
            <w:vAlign w:val="center"/>
          </w:tcPr>
          <w:p>
            <w:pPr>
              <w:spacing w:line="240" w:lineRule="auto"/>
              <w:ind w:firstLine="0" w:firstLineChars="0"/>
              <w:jc w:val="center"/>
              <w:rPr>
                <w:rFonts w:ascii="黑体" w:hAnsi="黑体" w:eastAsia="黑体"/>
                <w:sz w:val="18"/>
                <w:szCs w:val="18"/>
              </w:rPr>
            </w:pPr>
            <w:r>
              <w:rPr>
                <w:rFonts w:ascii="黑体" w:hAnsi="黑体" w:eastAsia="黑体"/>
                <w:sz w:val="18"/>
                <w:szCs w:val="18"/>
              </w:rPr>
              <w:t>2023</w:t>
            </w:r>
            <w:r>
              <w:rPr>
                <w:rFonts w:hint="eastAsia" w:ascii="黑体" w:hAnsi="黑体" w:eastAsia="黑体"/>
                <w:sz w:val="18"/>
                <w:szCs w:val="18"/>
              </w:rPr>
              <w:t>年7万吨三元材料，2</w:t>
            </w:r>
            <w:r>
              <w:rPr>
                <w:rFonts w:ascii="黑体" w:hAnsi="黑体" w:eastAsia="黑体"/>
                <w:sz w:val="18"/>
                <w:szCs w:val="18"/>
              </w:rPr>
              <w:t>025</w:t>
            </w:r>
            <w:r>
              <w:rPr>
                <w:rFonts w:hint="eastAsia" w:ascii="黑体" w:hAnsi="黑体" w:eastAsia="黑体"/>
                <w:sz w:val="18"/>
                <w:szCs w:val="18"/>
              </w:rPr>
              <w:t>年1</w:t>
            </w:r>
            <w:r>
              <w:rPr>
                <w:rFonts w:ascii="黑体" w:hAnsi="黑体" w:eastAsia="黑体"/>
                <w:sz w:val="18"/>
                <w:szCs w:val="18"/>
              </w:rPr>
              <w:t>5</w:t>
            </w:r>
            <w:r>
              <w:rPr>
                <w:rFonts w:hint="eastAsia" w:ascii="黑体" w:hAnsi="黑体" w:eastAsia="黑体"/>
                <w:sz w:val="18"/>
                <w:szCs w:val="18"/>
              </w:rPr>
              <w:t>万吨产能</w:t>
            </w:r>
          </w:p>
        </w:tc>
        <w:tc>
          <w:tcPr>
            <w:tcW w:w="1225" w:type="pct"/>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59" w:type="pct"/>
            <w:vMerge w:val="continue"/>
            <w:vAlign w:val="center"/>
          </w:tcPr>
          <w:p>
            <w:pPr>
              <w:spacing w:line="240" w:lineRule="auto"/>
              <w:ind w:firstLine="0" w:firstLineChars="0"/>
              <w:jc w:val="center"/>
              <w:rPr>
                <w:rFonts w:ascii="黑体" w:hAnsi="黑体" w:eastAsia="黑体"/>
                <w:sz w:val="18"/>
                <w:szCs w:val="18"/>
              </w:rPr>
            </w:pPr>
          </w:p>
        </w:tc>
        <w:tc>
          <w:tcPr>
            <w:tcW w:w="561"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7</w:t>
            </w:r>
          </w:p>
        </w:tc>
        <w:tc>
          <w:tcPr>
            <w:tcW w:w="540"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宜宾昆仑</w:t>
            </w:r>
          </w:p>
        </w:tc>
        <w:tc>
          <w:tcPr>
            <w:tcW w:w="903"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1212"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年产2</w:t>
            </w:r>
            <w:r>
              <w:rPr>
                <w:rFonts w:ascii="黑体" w:hAnsi="黑体" w:eastAsia="黑体"/>
                <w:sz w:val="18"/>
                <w:szCs w:val="18"/>
              </w:rPr>
              <w:t>4</w:t>
            </w:r>
            <w:r>
              <w:rPr>
                <w:rFonts w:hint="eastAsia" w:ascii="黑体" w:hAnsi="黑体" w:eastAsia="黑体"/>
                <w:sz w:val="18"/>
                <w:szCs w:val="18"/>
              </w:rPr>
              <w:t>万吨锂离子电池电解液</w:t>
            </w:r>
          </w:p>
        </w:tc>
        <w:tc>
          <w:tcPr>
            <w:tcW w:w="1225" w:type="pct"/>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59" w:type="pct"/>
            <w:vMerge w:val="continue"/>
            <w:vAlign w:val="center"/>
          </w:tcPr>
          <w:p>
            <w:pPr>
              <w:spacing w:line="240" w:lineRule="auto"/>
              <w:ind w:firstLine="0" w:firstLineChars="0"/>
              <w:jc w:val="center"/>
              <w:rPr>
                <w:rFonts w:ascii="黑体" w:hAnsi="黑体" w:eastAsia="黑体"/>
                <w:sz w:val="18"/>
                <w:szCs w:val="18"/>
              </w:rPr>
            </w:pPr>
          </w:p>
        </w:tc>
        <w:tc>
          <w:tcPr>
            <w:tcW w:w="561"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8</w:t>
            </w:r>
          </w:p>
        </w:tc>
        <w:tc>
          <w:tcPr>
            <w:tcW w:w="540"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德方纳米</w:t>
            </w:r>
          </w:p>
        </w:tc>
        <w:tc>
          <w:tcPr>
            <w:tcW w:w="903"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1212"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年产8万吨磷酸铁锂</w:t>
            </w:r>
          </w:p>
        </w:tc>
        <w:tc>
          <w:tcPr>
            <w:tcW w:w="1225" w:type="pct"/>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59" w:type="pct"/>
            <w:vMerge w:val="continue"/>
            <w:vAlign w:val="center"/>
          </w:tcPr>
          <w:p>
            <w:pPr>
              <w:spacing w:line="240" w:lineRule="auto"/>
              <w:ind w:firstLine="0" w:firstLineChars="0"/>
              <w:jc w:val="center"/>
              <w:rPr>
                <w:rFonts w:ascii="黑体" w:hAnsi="黑体" w:eastAsia="黑体"/>
                <w:sz w:val="18"/>
                <w:szCs w:val="18"/>
              </w:rPr>
            </w:pPr>
          </w:p>
        </w:tc>
        <w:tc>
          <w:tcPr>
            <w:tcW w:w="561"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9</w:t>
            </w:r>
          </w:p>
        </w:tc>
        <w:tc>
          <w:tcPr>
            <w:tcW w:w="540"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天宜锂业</w:t>
            </w:r>
          </w:p>
        </w:tc>
        <w:tc>
          <w:tcPr>
            <w:tcW w:w="903"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5万吨电池级氢氧化锂</w:t>
            </w:r>
          </w:p>
        </w:tc>
        <w:tc>
          <w:tcPr>
            <w:tcW w:w="1212"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2</w:t>
            </w:r>
            <w:r>
              <w:rPr>
                <w:rFonts w:ascii="黑体" w:hAnsi="黑体" w:eastAsia="黑体"/>
                <w:sz w:val="18"/>
                <w:szCs w:val="18"/>
              </w:rPr>
              <w:t>025</w:t>
            </w:r>
            <w:r>
              <w:rPr>
                <w:rFonts w:hint="eastAsia" w:ascii="黑体" w:hAnsi="黑体" w:eastAsia="黑体"/>
                <w:sz w:val="18"/>
                <w:szCs w:val="18"/>
              </w:rPr>
              <w:t>年1</w:t>
            </w:r>
            <w:r>
              <w:rPr>
                <w:rFonts w:ascii="黑体" w:hAnsi="黑体" w:eastAsia="黑体"/>
                <w:sz w:val="18"/>
                <w:szCs w:val="18"/>
              </w:rPr>
              <w:t>0</w:t>
            </w:r>
            <w:r>
              <w:rPr>
                <w:rFonts w:hint="eastAsia" w:ascii="黑体" w:hAnsi="黑体" w:eastAsia="黑体"/>
                <w:sz w:val="18"/>
                <w:szCs w:val="18"/>
              </w:rPr>
              <w:t>万吨氢氧化锂产能</w:t>
            </w:r>
          </w:p>
        </w:tc>
        <w:tc>
          <w:tcPr>
            <w:tcW w:w="1225" w:type="pct"/>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59" w:type="pct"/>
            <w:vMerge w:val="restar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遂宁市</w:t>
            </w:r>
          </w:p>
        </w:tc>
        <w:tc>
          <w:tcPr>
            <w:tcW w:w="561" w:type="pct"/>
            <w:vAlign w:val="center"/>
          </w:tcPr>
          <w:p>
            <w:pPr>
              <w:spacing w:line="240" w:lineRule="auto"/>
              <w:ind w:firstLine="0" w:firstLineChars="0"/>
              <w:jc w:val="center"/>
              <w:rPr>
                <w:rFonts w:ascii="黑体" w:hAnsi="黑体" w:eastAsia="黑体"/>
                <w:sz w:val="18"/>
                <w:szCs w:val="18"/>
              </w:rPr>
            </w:pPr>
            <w:r>
              <w:rPr>
                <w:rFonts w:ascii="黑体" w:hAnsi="黑体" w:eastAsia="黑体"/>
                <w:sz w:val="18"/>
                <w:szCs w:val="18"/>
              </w:rPr>
              <w:t>10</w:t>
            </w:r>
          </w:p>
        </w:tc>
        <w:tc>
          <w:tcPr>
            <w:tcW w:w="540"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蜂巢能源</w:t>
            </w:r>
          </w:p>
        </w:tc>
        <w:tc>
          <w:tcPr>
            <w:tcW w:w="903"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1212"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年产2</w:t>
            </w:r>
            <w:r>
              <w:rPr>
                <w:rFonts w:ascii="黑体" w:hAnsi="黑体" w:eastAsia="黑体"/>
                <w:sz w:val="18"/>
                <w:szCs w:val="18"/>
              </w:rPr>
              <w:t>0GW</w:t>
            </w:r>
            <w:r>
              <w:rPr>
                <w:rFonts w:hint="eastAsia" w:ascii="黑体" w:hAnsi="黑体" w:eastAsia="黑体"/>
                <w:sz w:val="18"/>
                <w:szCs w:val="18"/>
              </w:rPr>
              <w:t>h动力电池</w:t>
            </w:r>
          </w:p>
        </w:tc>
        <w:tc>
          <w:tcPr>
            <w:tcW w:w="1225" w:type="pct"/>
            <w:vMerge w:val="restar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凭借电价资和本土的碳酸锂企业的区位优势，吸引一大批企业入驻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59" w:type="pct"/>
            <w:vMerge w:val="continue"/>
            <w:vAlign w:val="center"/>
          </w:tcPr>
          <w:p>
            <w:pPr>
              <w:spacing w:line="240" w:lineRule="auto"/>
              <w:ind w:firstLine="0" w:firstLineChars="0"/>
              <w:jc w:val="center"/>
              <w:rPr>
                <w:rFonts w:ascii="黑体" w:hAnsi="黑体" w:eastAsia="黑体"/>
                <w:sz w:val="18"/>
                <w:szCs w:val="18"/>
              </w:rPr>
            </w:pPr>
          </w:p>
        </w:tc>
        <w:tc>
          <w:tcPr>
            <w:tcW w:w="561"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1</w:t>
            </w:r>
            <w:r>
              <w:rPr>
                <w:rFonts w:ascii="黑体" w:hAnsi="黑体" w:eastAsia="黑体"/>
                <w:sz w:val="18"/>
                <w:szCs w:val="18"/>
              </w:rPr>
              <w:t>1</w:t>
            </w:r>
          </w:p>
        </w:tc>
        <w:tc>
          <w:tcPr>
            <w:tcW w:w="540"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湖南裕能</w:t>
            </w:r>
          </w:p>
        </w:tc>
        <w:tc>
          <w:tcPr>
            <w:tcW w:w="903"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1212"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年产2万吨磷酸铁锂</w:t>
            </w:r>
          </w:p>
        </w:tc>
        <w:tc>
          <w:tcPr>
            <w:tcW w:w="1225" w:type="pct"/>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59" w:type="pct"/>
            <w:vMerge w:val="continue"/>
            <w:vAlign w:val="center"/>
          </w:tcPr>
          <w:p>
            <w:pPr>
              <w:spacing w:line="240" w:lineRule="auto"/>
              <w:ind w:firstLine="0" w:firstLineChars="0"/>
              <w:jc w:val="center"/>
              <w:rPr>
                <w:rFonts w:ascii="黑体" w:hAnsi="黑体" w:eastAsia="黑体"/>
                <w:sz w:val="18"/>
                <w:szCs w:val="18"/>
              </w:rPr>
            </w:pPr>
          </w:p>
        </w:tc>
        <w:tc>
          <w:tcPr>
            <w:tcW w:w="561"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1</w:t>
            </w:r>
            <w:r>
              <w:rPr>
                <w:rFonts w:ascii="黑体" w:hAnsi="黑体" w:eastAsia="黑体"/>
                <w:sz w:val="18"/>
                <w:szCs w:val="18"/>
              </w:rPr>
              <w:t>2</w:t>
            </w:r>
          </w:p>
        </w:tc>
        <w:tc>
          <w:tcPr>
            <w:tcW w:w="540"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龙蟠科技</w:t>
            </w:r>
          </w:p>
        </w:tc>
        <w:tc>
          <w:tcPr>
            <w:tcW w:w="903"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2</w:t>
            </w:r>
            <w:r>
              <w:rPr>
                <w:rFonts w:ascii="黑体" w:hAnsi="黑体" w:eastAsia="黑体"/>
                <w:sz w:val="18"/>
                <w:szCs w:val="18"/>
              </w:rPr>
              <w:t>.5</w:t>
            </w:r>
            <w:r>
              <w:rPr>
                <w:rFonts w:hint="eastAsia" w:ascii="黑体" w:hAnsi="黑体" w:eastAsia="黑体"/>
                <w:sz w:val="18"/>
                <w:szCs w:val="18"/>
              </w:rPr>
              <w:t>万吨磷酸铁锂</w:t>
            </w:r>
          </w:p>
        </w:tc>
        <w:tc>
          <w:tcPr>
            <w:tcW w:w="1212"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年产1</w:t>
            </w:r>
            <w:r>
              <w:rPr>
                <w:rFonts w:ascii="黑体" w:hAnsi="黑体" w:eastAsia="黑体"/>
                <w:sz w:val="18"/>
                <w:szCs w:val="18"/>
              </w:rPr>
              <w:t>2.5</w:t>
            </w:r>
            <w:r>
              <w:rPr>
                <w:rFonts w:hint="eastAsia" w:ascii="黑体" w:hAnsi="黑体" w:eastAsia="黑体"/>
                <w:sz w:val="18"/>
                <w:szCs w:val="18"/>
              </w:rPr>
              <w:t>万吨磷酸铁锂正极材料</w:t>
            </w:r>
          </w:p>
        </w:tc>
        <w:tc>
          <w:tcPr>
            <w:tcW w:w="1225" w:type="pct"/>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59" w:type="pct"/>
            <w:vMerge w:val="continue"/>
            <w:vAlign w:val="center"/>
          </w:tcPr>
          <w:p>
            <w:pPr>
              <w:spacing w:line="240" w:lineRule="auto"/>
              <w:ind w:firstLine="0" w:firstLineChars="0"/>
              <w:jc w:val="center"/>
              <w:rPr>
                <w:rFonts w:ascii="黑体" w:hAnsi="黑体" w:eastAsia="黑体"/>
                <w:sz w:val="18"/>
                <w:szCs w:val="18"/>
              </w:rPr>
            </w:pPr>
          </w:p>
        </w:tc>
        <w:tc>
          <w:tcPr>
            <w:tcW w:w="561"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1</w:t>
            </w:r>
            <w:r>
              <w:rPr>
                <w:rFonts w:ascii="黑体" w:hAnsi="黑体" w:eastAsia="黑体"/>
                <w:sz w:val="18"/>
                <w:szCs w:val="18"/>
              </w:rPr>
              <w:t>3</w:t>
            </w:r>
          </w:p>
        </w:tc>
        <w:tc>
          <w:tcPr>
            <w:tcW w:w="540"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江西升华</w:t>
            </w:r>
          </w:p>
        </w:tc>
        <w:tc>
          <w:tcPr>
            <w:tcW w:w="903"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5万吨磷酸铁锂正极材料</w:t>
            </w:r>
          </w:p>
        </w:tc>
        <w:tc>
          <w:tcPr>
            <w:tcW w:w="1212"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1225" w:type="pct"/>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59" w:type="pct"/>
            <w:vMerge w:val="restar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眉山市</w:t>
            </w:r>
          </w:p>
        </w:tc>
        <w:tc>
          <w:tcPr>
            <w:tcW w:w="561"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1</w:t>
            </w:r>
            <w:r>
              <w:rPr>
                <w:rFonts w:ascii="黑体" w:hAnsi="黑体" w:eastAsia="黑体"/>
                <w:sz w:val="18"/>
                <w:szCs w:val="18"/>
              </w:rPr>
              <w:t>4</w:t>
            </w:r>
          </w:p>
        </w:tc>
        <w:tc>
          <w:tcPr>
            <w:tcW w:w="540"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杉杉股份</w:t>
            </w:r>
          </w:p>
        </w:tc>
        <w:tc>
          <w:tcPr>
            <w:tcW w:w="903"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1212"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年产2</w:t>
            </w:r>
            <w:r>
              <w:rPr>
                <w:rFonts w:ascii="黑体" w:hAnsi="黑体" w:eastAsia="黑体"/>
                <w:sz w:val="18"/>
                <w:szCs w:val="18"/>
              </w:rPr>
              <w:t>0</w:t>
            </w:r>
            <w:r>
              <w:rPr>
                <w:rFonts w:hint="eastAsia" w:ascii="黑体" w:hAnsi="黑体" w:eastAsia="黑体"/>
                <w:sz w:val="18"/>
                <w:szCs w:val="18"/>
              </w:rPr>
              <w:t>万吨负极材料</w:t>
            </w:r>
          </w:p>
        </w:tc>
        <w:tc>
          <w:tcPr>
            <w:tcW w:w="1225" w:type="pct"/>
            <w:vMerge w:val="restar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与甘孜州共建的甘眉工业园在政策和锂矿资源上有优势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59" w:type="pct"/>
            <w:vMerge w:val="continue"/>
            <w:vAlign w:val="center"/>
          </w:tcPr>
          <w:p>
            <w:pPr>
              <w:spacing w:line="240" w:lineRule="auto"/>
              <w:ind w:firstLine="0" w:firstLineChars="0"/>
              <w:jc w:val="center"/>
              <w:rPr>
                <w:rFonts w:ascii="黑体" w:hAnsi="黑体" w:eastAsia="黑体"/>
                <w:sz w:val="18"/>
                <w:szCs w:val="18"/>
              </w:rPr>
            </w:pPr>
          </w:p>
        </w:tc>
        <w:tc>
          <w:tcPr>
            <w:tcW w:w="561"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1</w:t>
            </w:r>
            <w:r>
              <w:rPr>
                <w:rFonts w:ascii="黑体" w:hAnsi="黑体" w:eastAsia="黑体"/>
                <w:sz w:val="18"/>
                <w:szCs w:val="18"/>
              </w:rPr>
              <w:t>5</w:t>
            </w:r>
          </w:p>
        </w:tc>
        <w:tc>
          <w:tcPr>
            <w:tcW w:w="540"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雅保</w:t>
            </w:r>
          </w:p>
        </w:tc>
        <w:tc>
          <w:tcPr>
            <w:tcW w:w="903"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1212"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年产5万吨氢氧化锂</w:t>
            </w:r>
          </w:p>
        </w:tc>
        <w:tc>
          <w:tcPr>
            <w:tcW w:w="1225" w:type="pct"/>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59" w:type="pct"/>
            <w:vMerge w:val="continue"/>
            <w:vAlign w:val="center"/>
          </w:tcPr>
          <w:p>
            <w:pPr>
              <w:spacing w:line="240" w:lineRule="auto"/>
              <w:ind w:firstLine="0" w:firstLineChars="0"/>
              <w:jc w:val="center"/>
              <w:rPr>
                <w:rFonts w:ascii="黑体" w:hAnsi="黑体" w:eastAsia="黑体"/>
                <w:sz w:val="18"/>
                <w:szCs w:val="18"/>
              </w:rPr>
            </w:pPr>
          </w:p>
        </w:tc>
        <w:tc>
          <w:tcPr>
            <w:tcW w:w="561"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1</w:t>
            </w:r>
            <w:r>
              <w:rPr>
                <w:rFonts w:ascii="黑体" w:hAnsi="黑体" w:eastAsia="黑体"/>
                <w:sz w:val="18"/>
                <w:szCs w:val="18"/>
              </w:rPr>
              <w:t>6</w:t>
            </w:r>
          </w:p>
        </w:tc>
        <w:tc>
          <w:tcPr>
            <w:tcW w:w="540"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天赐材料</w:t>
            </w:r>
          </w:p>
        </w:tc>
        <w:tc>
          <w:tcPr>
            <w:tcW w:w="903"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1212"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年产3</w:t>
            </w:r>
            <w:r>
              <w:rPr>
                <w:rFonts w:ascii="黑体" w:hAnsi="黑体" w:eastAsia="黑体"/>
                <w:sz w:val="18"/>
                <w:szCs w:val="18"/>
              </w:rPr>
              <w:t>0</w:t>
            </w:r>
            <w:r>
              <w:rPr>
                <w:rFonts w:hint="eastAsia" w:ascii="黑体" w:hAnsi="黑体" w:eastAsia="黑体"/>
                <w:sz w:val="18"/>
                <w:szCs w:val="18"/>
              </w:rPr>
              <w:t>万吨电解液</w:t>
            </w:r>
          </w:p>
        </w:tc>
        <w:tc>
          <w:tcPr>
            <w:tcW w:w="1225" w:type="pct"/>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59" w:type="pct"/>
            <w:vMerge w:val="continue"/>
            <w:vAlign w:val="center"/>
          </w:tcPr>
          <w:p>
            <w:pPr>
              <w:spacing w:line="240" w:lineRule="auto"/>
              <w:ind w:firstLine="0" w:firstLineChars="0"/>
              <w:jc w:val="center"/>
              <w:rPr>
                <w:rFonts w:ascii="黑体" w:hAnsi="黑体" w:eastAsia="黑体"/>
                <w:sz w:val="18"/>
                <w:szCs w:val="18"/>
              </w:rPr>
            </w:pPr>
          </w:p>
        </w:tc>
        <w:tc>
          <w:tcPr>
            <w:tcW w:w="561"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1</w:t>
            </w:r>
            <w:r>
              <w:rPr>
                <w:rFonts w:ascii="黑体" w:hAnsi="黑体" w:eastAsia="黑体"/>
                <w:sz w:val="18"/>
                <w:szCs w:val="18"/>
              </w:rPr>
              <w:t>7</w:t>
            </w:r>
          </w:p>
        </w:tc>
        <w:tc>
          <w:tcPr>
            <w:tcW w:w="540"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石大胜华</w:t>
            </w:r>
          </w:p>
        </w:tc>
        <w:tc>
          <w:tcPr>
            <w:tcW w:w="903"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1212"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年产2</w:t>
            </w:r>
            <w:r>
              <w:rPr>
                <w:rFonts w:ascii="黑体" w:hAnsi="黑体" w:eastAsia="黑体"/>
                <w:sz w:val="18"/>
                <w:szCs w:val="18"/>
              </w:rPr>
              <w:t>0</w:t>
            </w:r>
            <w:r>
              <w:rPr>
                <w:rFonts w:hint="eastAsia" w:ascii="黑体" w:hAnsi="黑体" w:eastAsia="黑体"/>
                <w:sz w:val="18"/>
                <w:szCs w:val="18"/>
              </w:rPr>
              <w:t>万吨电解液和和3万吨硅基负极材料</w:t>
            </w:r>
          </w:p>
        </w:tc>
        <w:tc>
          <w:tcPr>
            <w:tcW w:w="1225" w:type="pct"/>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59"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自贡市</w:t>
            </w:r>
          </w:p>
        </w:tc>
        <w:tc>
          <w:tcPr>
            <w:tcW w:w="561"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1</w:t>
            </w:r>
            <w:r>
              <w:rPr>
                <w:rFonts w:ascii="黑体" w:hAnsi="黑体" w:eastAsia="黑体"/>
                <w:sz w:val="18"/>
                <w:szCs w:val="18"/>
              </w:rPr>
              <w:t>8</w:t>
            </w:r>
          </w:p>
        </w:tc>
        <w:tc>
          <w:tcPr>
            <w:tcW w:w="540"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国泰华荣</w:t>
            </w:r>
          </w:p>
        </w:tc>
        <w:tc>
          <w:tcPr>
            <w:tcW w:w="903"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w:t>
            </w:r>
          </w:p>
        </w:tc>
        <w:tc>
          <w:tcPr>
            <w:tcW w:w="1212"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年产3</w:t>
            </w:r>
            <w:r>
              <w:rPr>
                <w:rFonts w:ascii="黑体" w:hAnsi="黑体" w:eastAsia="黑体"/>
                <w:sz w:val="18"/>
                <w:szCs w:val="18"/>
              </w:rPr>
              <w:t>0</w:t>
            </w:r>
            <w:r>
              <w:rPr>
                <w:rFonts w:hint="eastAsia" w:ascii="黑体" w:hAnsi="黑体" w:eastAsia="黑体"/>
                <w:sz w:val="18"/>
                <w:szCs w:val="18"/>
              </w:rPr>
              <w:t>万吨电解液和2</w:t>
            </w:r>
            <w:r>
              <w:rPr>
                <w:rFonts w:ascii="黑体" w:hAnsi="黑体" w:eastAsia="黑体"/>
                <w:sz w:val="18"/>
                <w:szCs w:val="18"/>
              </w:rPr>
              <w:t>000</w:t>
            </w:r>
            <w:r>
              <w:rPr>
                <w:rFonts w:hint="eastAsia" w:ascii="黑体" w:hAnsi="黑体" w:eastAsia="黑体"/>
                <w:sz w:val="18"/>
                <w:szCs w:val="18"/>
              </w:rPr>
              <w:t>吨溶剂</w:t>
            </w:r>
          </w:p>
        </w:tc>
        <w:tc>
          <w:tcPr>
            <w:tcW w:w="1225" w:type="pct"/>
            <w:vAlign w:val="center"/>
          </w:tcPr>
          <w:p>
            <w:pPr>
              <w:spacing w:line="240" w:lineRule="auto"/>
              <w:ind w:firstLine="0" w:firstLineChars="0"/>
              <w:jc w:val="center"/>
              <w:rPr>
                <w:rFonts w:ascii="黑体" w:hAnsi="黑体" w:eastAsia="黑体"/>
                <w:sz w:val="18"/>
                <w:szCs w:val="18"/>
              </w:rPr>
            </w:pPr>
            <w:r>
              <w:rPr>
                <w:rFonts w:ascii="黑体" w:hAnsi="黑体" w:eastAsia="黑体"/>
                <w:sz w:val="18"/>
                <w:szCs w:val="18"/>
              </w:rPr>
              <w:t>抢抓宁德时代等锂电企业入川带来的投资风口，将电解液、隔膜及结构件等作为当前招引主攻方向</w:t>
            </w:r>
            <w:r>
              <w:rPr>
                <w:rFonts w:hint="eastAsia" w:ascii="黑体" w:hAnsi="黑体" w:eastAsia="黑体"/>
                <w:sz w:val="18"/>
                <w:szCs w:val="18"/>
              </w:rPr>
              <w:t>，实行“链长制”招商</w:t>
            </w:r>
          </w:p>
        </w:tc>
      </w:tr>
    </w:tbl>
    <w:p>
      <w:pPr>
        <w:spacing w:before="240" w:beforeLines="100"/>
        <w:ind w:firstLine="562"/>
      </w:pPr>
      <w:r>
        <w:rPr>
          <w:rFonts w:hint="eastAsia"/>
          <w:b/>
          <w:bCs/>
        </w:rPr>
        <w:t>发展目标：</w:t>
      </w:r>
      <w:r>
        <w:rPr>
          <w:rFonts w:hint="eastAsia"/>
        </w:rPr>
        <w:t>四川计划以锂电龙头企业为发展核心，通过完善产业生态体系，提升企业创新研发能力。在“十四五”期间形成锂矿开采能力500万吨，基础锂盐产能60万吨，正负极材料产能250万吨，动力电池产能350GWh，推广应用新能源汽车80万辆，实现锂电产业高速高倍增长，打造世界级动力电池产业集群。</w:t>
      </w:r>
    </w:p>
    <w:p>
      <w:pPr>
        <w:ind w:firstLine="562"/>
      </w:pPr>
      <w:r>
        <w:rPr>
          <w:rFonts w:hint="eastAsia"/>
          <w:b/>
          <w:bCs/>
        </w:rPr>
        <w:t>出台政策：</w:t>
      </w:r>
      <w:r>
        <w:t>《</w:t>
      </w:r>
      <w:r>
        <w:rPr>
          <w:rFonts w:hint="eastAsia"/>
        </w:rPr>
        <w:t>“电动”四川行动计划（2</w:t>
      </w:r>
      <w:r>
        <w:t>022</w:t>
      </w:r>
      <w:r>
        <w:rPr>
          <w:rFonts w:hint="eastAsia"/>
        </w:rPr>
        <w:t>-</w:t>
      </w:r>
      <w:r>
        <w:t>2025</w:t>
      </w:r>
      <w:r>
        <w:rPr>
          <w:rFonts w:hint="eastAsia"/>
        </w:rPr>
        <w:t>）</w:t>
      </w:r>
      <w:r>
        <w:t>》</w:t>
      </w:r>
      <w:r>
        <w:rPr>
          <w:rFonts w:hint="eastAsia"/>
        </w:rPr>
        <w:t>、</w:t>
      </w:r>
      <w:r>
        <w:t>《遂宁市“十四五”锂电产业发展规划》</w:t>
      </w:r>
      <w:r>
        <w:rPr>
          <w:rFonts w:hint="eastAsia"/>
        </w:rPr>
        <w:t>、</w:t>
      </w:r>
      <w:r>
        <w:t>《成都市“十四五”绿色转型发展规划》</w:t>
      </w:r>
      <w:r>
        <w:rPr>
          <w:rFonts w:hint="eastAsia"/>
        </w:rPr>
        <w:t>、</w:t>
      </w:r>
      <w:r>
        <w:t>《</w:t>
      </w:r>
      <w:r>
        <w:rPr>
          <w:rFonts w:hint="eastAsia"/>
        </w:rPr>
        <w:t>遂宁市支持锂电产业发展的若干意见</w:t>
      </w:r>
      <w:r>
        <w:t>》</w:t>
      </w:r>
      <w:r>
        <w:rPr>
          <w:rFonts w:hint="eastAsia"/>
        </w:rPr>
        <w:t>、</w:t>
      </w:r>
      <w:r>
        <w:t>《成都市“十四五”绿色转型发展规划》</w:t>
      </w:r>
      <w:r>
        <w:rPr>
          <w:rFonts w:hint="eastAsia"/>
        </w:rPr>
        <w:t>、《四川省关于以实现碳达峰碳中和目标为引领推动绿色低碳优势产业高质量发展的决定》。</w:t>
      </w:r>
    </w:p>
    <w:p>
      <w:pPr>
        <w:ind w:firstLine="562"/>
      </w:pPr>
      <w:r>
        <w:rPr>
          <w:rFonts w:hint="eastAsia"/>
          <w:b/>
          <w:bCs/>
        </w:rPr>
        <w:t>经验借鉴：</w:t>
      </w:r>
      <w:r>
        <w:rPr>
          <w:rFonts w:hint="eastAsia"/>
        </w:rPr>
        <w:t>四川有丰富的资源禀赋和要素价格优势，通过招商引资吸引企业落户四川，实现锂电材料一体化布局，降低原材料成本并提高行业集中度。区域发展上，实行城市群错位发展，大力发展成都锂离子电池制造集群，</w:t>
      </w:r>
      <w:r>
        <w:t>联动遂宁打造锂电材料大循环，推动遂宁上游锂原材料与成都中游锂电材料制造、电池制造连成一片，构建锂电生产供应链</w:t>
      </w:r>
      <w:r>
        <w:rPr>
          <w:rFonts w:hint="eastAsia"/>
        </w:rPr>
        <w:t>。宜宾</w:t>
      </w:r>
      <w:r>
        <w:t>与甘孜州、阿坝州等地签订跨区域协同发展合作协议，积极推进锂矿资源勘探开发</w:t>
      </w:r>
      <w:r>
        <w:rPr>
          <w:rFonts w:hint="eastAsia"/>
        </w:rPr>
        <w:t>，保证锂电产业原材料供应</w:t>
      </w:r>
      <w:r>
        <w:t>。</w:t>
      </w:r>
    </w:p>
    <w:p>
      <w:pPr>
        <w:pStyle w:val="4"/>
        <w:ind w:left="412"/>
      </w:pPr>
      <w:bookmarkStart w:id="41" w:name="_Toc118298120"/>
      <w:r>
        <w:rPr>
          <w:rFonts w:hint="eastAsia"/>
        </w:rPr>
        <w:t>（三）江西省</w:t>
      </w:r>
      <w:bookmarkEnd w:id="41"/>
    </w:p>
    <w:p>
      <w:pPr>
        <w:ind w:firstLine="562"/>
      </w:pPr>
      <w:r>
        <w:rPr>
          <w:rFonts w:hint="eastAsia"/>
          <w:b/>
          <w:bCs/>
        </w:rPr>
        <w:t>发展现状：</w:t>
      </w:r>
      <w:r>
        <w:rPr>
          <w:rFonts w:hint="eastAsia"/>
        </w:rPr>
        <w:t>依托上游资源，通过补链延链强链，目前已建成宜春、新余、赣州三大锂电产业集群，区域内有多家锂电龙头企业，包括赣锋锂业、孚能科技、紫宸科技等，形成了从锂矿、锂电关键材料、电芯及模组、再到锂电制造的完整产业链，并在锂盐、负极材料、电解液等领域具有一定领先优势，锂电池制造形成一定的产能规模优势。</w:t>
      </w:r>
    </w:p>
    <w:tbl>
      <w:tblPr>
        <w:tblStyle w:val="21"/>
        <w:tblW w:w="49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879"/>
        <w:gridCol w:w="1025"/>
        <w:gridCol w:w="1317"/>
        <w:gridCol w:w="2414"/>
        <w:gridCol w:w="2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67" w:type="pct"/>
            <w:shd w:val="clear" w:color="auto" w:fill="5B9BD5" w:themeFill="accent5"/>
            <w:vAlign w:val="center"/>
          </w:tcPr>
          <w:p>
            <w:pPr>
              <w:spacing w:line="240" w:lineRule="auto"/>
              <w:ind w:firstLine="0" w:firstLineChars="0"/>
              <w:jc w:val="center"/>
              <w:rPr>
                <w:rFonts w:ascii="黑体" w:hAnsi="黑体" w:eastAsia="黑体"/>
                <w:b/>
                <w:bCs/>
                <w:color w:val="FFFFFF" w:themeColor="background1"/>
                <w:sz w:val="18"/>
                <w:szCs w:val="18"/>
                <w14:textFill>
                  <w14:solidFill>
                    <w14:schemeClr w14:val="bg1"/>
                  </w14:solidFill>
                </w14:textFill>
              </w:rPr>
            </w:pPr>
            <w:r>
              <w:rPr>
                <w:rFonts w:hint="eastAsia" w:ascii="黑体" w:hAnsi="黑体" w:eastAsia="黑体"/>
                <w:b/>
                <w:bCs/>
                <w:color w:val="FFFFFF" w:themeColor="background1"/>
                <w:sz w:val="18"/>
                <w:szCs w:val="18"/>
                <w14:textFill>
                  <w14:solidFill>
                    <w14:schemeClr w14:val="bg1"/>
                  </w14:solidFill>
                </w14:textFill>
              </w:rPr>
              <w:t>所在地区</w:t>
            </w:r>
          </w:p>
        </w:tc>
        <w:tc>
          <w:tcPr>
            <w:tcW w:w="488" w:type="pct"/>
            <w:shd w:val="clear" w:color="auto" w:fill="5B9BD5" w:themeFill="accent5"/>
            <w:vAlign w:val="center"/>
          </w:tcPr>
          <w:p>
            <w:pPr>
              <w:spacing w:line="240" w:lineRule="auto"/>
              <w:ind w:firstLine="0" w:firstLineChars="0"/>
              <w:jc w:val="center"/>
              <w:rPr>
                <w:rFonts w:ascii="黑体" w:hAnsi="黑体" w:eastAsia="黑体"/>
                <w:b/>
                <w:bCs/>
                <w:color w:val="FFFFFF" w:themeColor="background1"/>
                <w:sz w:val="18"/>
                <w:szCs w:val="18"/>
                <w14:textFill>
                  <w14:solidFill>
                    <w14:schemeClr w14:val="bg1"/>
                  </w14:solidFill>
                </w14:textFill>
              </w:rPr>
            </w:pPr>
            <w:r>
              <w:rPr>
                <w:rFonts w:hint="eastAsia" w:ascii="黑体" w:hAnsi="黑体" w:eastAsia="黑体"/>
                <w:b/>
                <w:bCs/>
                <w:color w:val="FFFFFF" w:themeColor="background1"/>
                <w:sz w:val="18"/>
                <w:szCs w:val="18"/>
                <w14:textFill>
                  <w14:solidFill>
                    <w14:schemeClr w14:val="bg1"/>
                  </w14:solidFill>
                </w14:textFill>
              </w:rPr>
              <w:t>序号</w:t>
            </w:r>
          </w:p>
        </w:tc>
        <w:tc>
          <w:tcPr>
            <w:tcW w:w="569" w:type="pct"/>
            <w:shd w:val="clear" w:color="auto" w:fill="5B9BD5" w:themeFill="accent5"/>
            <w:vAlign w:val="center"/>
          </w:tcPr>
          <w:p>
            <w:pPr>
              <w:spacing w:line="240" w:lineRule="auto"/>
              <w:ind w:firstLine="0" w:firstLineChars="0"/>
              <w:jc w:val="center"/>
              <w:rPr>
                <w:rFonts w:ascii="黑体" w:hAnsi="黑体" w:eastAsia="黑体"/>
                <w:b/>
                <w:bCs/>
                <w:color w:val="FFFFFF" w:themeColor="background1"/>
                <w:sz w:val="18"/>
                <w:szCs w:val="18"/>
                <w14:textFill>
                  <w14:solidFill>
                    <w14:schemeClr w14:val="bg1"/>
                  </w14:solidFill>
                </w14:textFill>
              </w:rPr>
            </w:pPr>
            <w:r>
              <w:rPr>
                <w:rFonts w:hint="eastAsia" w:ascii="黑体" w:hAnsi="黑体" w:eastAsia="黑体"/>
                <w:b/>
                <w:bCs/>
                <w:color w:val="FFFFFF" w:themeColor="background1"/>
                <w:sz w:val="18"/>
                <w:szCs w:val="18"/>
                <w14:textFill>
                  <w14:solidFill>
                    <w14:schemeClr w14:val="bg1"/>
                  </w14:solidFill>
                </w14:textFill>
              </w:rPr>
              <w:t>公司名称</w:t>
            </w:r>
          </w:p>
        </w:tc>
        <w:tc>
          <w:tcPr>
            <w:tcW w:w="731" w:type="pct"/>
            <w:shd w:val="clear" w:color="auto" w:fill="5B9BD5" w:themeFill="accent5"/>
            <w:vAlign w:val="center"/>
          </w:tcPr>
          <w:p>
            <w:pPr>
              <w:spacing w:line="240" w:lineRule="auto"/>
              <w:ind w:firstLine="0" w:firstLineChars="0"/>
              <w:jc w:val="center"/>
              <w:rPr>
                <w:rFonts w:ascii="黑体" w:hAnsi="黑体" w:eastAsia="黑体"/>
                <w:b/>
                <w:bCs/>
                <w:color w:val="FFFFFF" w:themeColor="background1"/>
                <w:sz w:val="18"/>
                <w:szCs w:val="18"/>
                <w14:textFill>
                  <w14:solidFill>
                    <w14:schemeClr w14:val="bg1"/>
                  </w14:solidFill>
                </w14:textFill>
              </w:rPr>
            </w:pPr>
            <w:r>
              <w:rPr>
                <w:rFonts w:hint="eastAsia" w:ascii="黑体" w:hAnsi="黑体" w:eastAsia="黑体"/>
                <w:b/>
                <w:bCs/>
                <w:color w:val="FFFFFF" w:themeColor="background1"/>
                <w:sz w:val="18"/>
                <w:szCs w:val="18"/>
                <w14:textFill>
                  <w14:solidFill>
                    <w14:schemeClr w14:val="bg1"/>
                  </w14:solidFill>
                </w14:textFill>
              </w:rPr>
              <w:t>现有产能</w:t>
            </w:r>
          </w:p>
        </w:tc>
        <w:tc>
          <w:tcPr>
            <w:tcW w:w="1340" w:type="pct"/>
            <w:shd w:val="clear" w:color="auto" w:fill="5B9BD5" w:themeFill="accent5"/>
            <w:vAlign w:val="center"/>
          </w:tcPr>
          <w:p>
            <w:pPr>
              <w:spacing w:line="240" w:lineRule="auto"/>
              <w:ind w:firstLine="0" w:firstLineChars="0"/>
              <w:jc w:val="center"/>
              <w:rPr>
                <w:rFonts w:ascii="黑体" w:hAnsi="黑体" w:eastAsia="黑体"/>
                <w:b/>
                <w:bCs/>
                <w:color w:val="FFFFFF" w:themeColor="background1"/>
                <w:sz w:val="18"/>
                <w:szCs w:val="18"/>
                <w14:textFill>
                  <w14:solidFill>
                    <w14:schemeClr w14:val="bg1"/>
                  </w14:solidFill>
                </w14:textFill>
              </w:rPr>
            </w:pPr>
            <w:r>
              <w:rPr>
                <w:rFonts w:hint="eastAsia" w:ascii="黑体" w:hAnsi="黑体" w:eastAsia="黑体"/>
                <w:b/>
                <w:bCs/>
                <w:color w:val="FFFFFF" w:themeColor="background1"/>
                <w:sz w:val="18"/>
                <w:szCs w:val="18"/>
                <w14:textFill>
                  <w14:solidFill>
                    <w14:schemeClr w14:val="bg1"/>
                  </w14:solidFill>
                </w14:textFill>
              </w:rPr>
              <w:t>未来规划</w:t>
            </w:r>
          </w:p>
        </w:tc>
        <w:tc>
          <w:tcPr>
            <w:tcW w:w="1305" w:type="pct"/>
            <w:shd w:val="clear" w:color="auto" w:fill="5B9BD5" w:themeFill="accent5"/>
            <w:vAlign w:val="center"/>
          </w:tcPr>
          <w:p>
            <w:pPr>
              <w:spacing w:line="240" w:lineRule="auto"/>
              <w:ind w:firstLine="0" w:firstLineChars="0"/>
              <w:jc w:val="center"/>
              <w:rPr>
                <w:rFonts w:ascii="黑体" w:hAnsi="黑体" w:eastAsia="黑体"/>
                <w:b/>
                <w:bCs/>
                <w:color w:val="FFFFFF" w:themeColor="background1"/>
                <w:sz w:val="18"/>
                <w:szCs w:val="18"/>
                <w14:textFill>
                  <w14:solidFill>
                    <w14:schemeClr w14:val="bg1"/>
                  </w14:solidFill>
                </w14:textFill>
              </w:rPr>
            </w:pPr>
            <w:r>
              <w:rPr>
                <w:rFonts w:hint="eastAsia" w:ascii="黑体" w:hAnsi="黑体" w:eastAsia="黑体"/>
                <w:b/>
                <w:bCs/>
                <w:color w:val="FFFFFF" w:themeColor="background1"/>
                <w:sz w:val="18"/>
                <w:szCs w:val="18"/>
                <w14:textFill>
                  <w14:solidFill>
                    <w14:schemeClr w14:val="bg1"/>
                  </w14:solidFill>
                </w14:textFill>
              </w:rPr>
              <w:t>发展启示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67" w:type="pct"/>
            <w:vMerge w:val="restart"/>
            <w:vAlign w:val="center"/>
          </w:tcPr>
          <w:p>
            <w:pPr>
              <w:spacing w:line="240" w:lineRule="auto"/>
              <w:ind w:firstLine="0" w:firstLineChars="0"/>
              <w:jc w:val="center"/>
              <w:rPr>
                <w:rFonts w:ascii="黑体" w:hAnsi="黑体" w:eastAsia="黑体"/>
                <w:color w:val="FF0000"/>
                <w:sz w:val="18"/>
                <w:szCs w:val="18"/>
              </w:rPr>
            </w:pPr>
            <w:r>
              <w:rPr>
                <w:rFonts w:hint="eastAsia" w:ascii="黑体" w:hAnsi="黑体" w:eastAsia="黑体"/>
                <w:color w:val="000000" w:themeColor="text1"/>
                <w:sz w:val="18"/>
                <w:szCs w:val="18"/>
                <w14:textFill>
                  <w14:solidFill>
                    <w14:schemeClr w14:val="tx1"/>
                  </w14:solidFill>
                </w14:textFill>
              </w:rPr>
              <w:t>宜春市</w:t>
            </w:r>
          </w:p>
        </w:tc>
        <w:tc>
          <w:tcPr>
            <w:tcW w:w="488"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1</w:t>
            </w:r>
          </w:p>
        </w:tc>
        <w:tc>
          <w:tcPr>
            <w:tcW w:w="569"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江西国轩</w:t>
            </w:r>
          </w:p>
        </w:tc>
        <w:tc>
          <w:tcPr>
            <w:tcW w:w="731"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w:t>
            </w:r>
          </w:p>
        </w:tc>
        <w:tc>
          <w:tcPr>
            <w:tcW w:w="1340"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一期1</w:t>
            </w:r>
            <w:r>
              <w:rPr>
                <w:rFonts w:ascii="黑体" w:hAnsi="黑体" w:eastAsia="黑体"/>
                <w:color w:val="000000" w:themeColor="text1"/>
                <w:sz w:val="18"/>
                <w:szCs w:val="18"/>
                <w14:textFill>
                  <w14:solidFill>
                    <w14:schemeClr w14:val="tx1"/>
                  </w14:solidFill>
                </w14:textFill>
              </w:rPr>
              <w:t>5GW</w:t>
            </w:r>
            <w:r>
              <w:rPr>
                <w:rFonts w:hint="eastAsia" w:ascii="黑体" w:hAnsi="黑体" w:eastAsia="黑体"/>
                <w:color w:val="000000" w:themeColor="text1"/>
                <w:sz w:val="18"/>
                <w:szCs w:val="18"/>
                <w14:textFill>
                  <w14:solidFill>
                    <w14:schemeClr w14:val="tx1"/>
                  </w14:solidFill>
                </w14:textFill>
              </w:rPr>
              <w:t>h 2022 年底建成投产；二期15Gwh计划于 2025年底建成投产</w:t>
            </w:r>
          </w:p>
        </w:tc>
        <w:tc>
          <w:tcPr>
            <w:tcW w:w="1305" w:type="pct"/>
            <w:vMerge w:val="restar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凭借区域内丰富的锂云母资源，吸引众多锂电产业链其他企业入驻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67" w:type="pct"/>
            <w:vMerge w:val="continue"/>
            <w:vAlign w:val="center"/>
          </w:tcPr>
          <w:p>
            <w:pPr>
              <w:spacing w:line="240" w:lineRule="auto"/>
              <w:ind w:firstLine="0" w:firstLineChars="0"/>
              <w:jc w:val="center"/>
              <w:rPr>
                <w:rFonts w:ascii="黑体" w:hAnsi="黑体" w:eastAsia="黑体"/>
                <w:color w:val="FF0000"/>
                <w:sz w:val="18"/>
                <w:szCs w:val="18"/>
              </w:rPr>
            </w:pPr>
          </w:p>
        </w:tc>
        <w:tc>
          <w:tcPr>
            <w:tcW w:w="488"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2</w:t>
            </w:r>
          </w:p>
        </w:tc>
        <w:tc>
          <w:tcPr>
            <w:tcW w:w="569"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宜春时代</w:t>
            </w:r>
          </w:p>
        </w:tc>
        <w:tc>
          <w:tcPr>
            <w:tcW w:w="731"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w:t>
            </w:r>
          </w:p>
        </w:tc>
        <w:tc>
          <w:tcPr>
            <w:tcW w:w="1340"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年产5</w:t>
            </w:r>
            <w:r>
              <w:rPr>
                <w:rFonts w:ascii="黑体" w:hAnsi="黑体" w:eastAsia="黑体"/>
                <w:color w:val="000000" w:themeColor="text1"/>
                <w:sz w:val="18"/>
                <w:szCs w:val="18"/>
                <w14:textFill>
                  <w14:solidFill>
                    <w14:schemeClr w14:val="tx1"/>
                  </w14:solidFill>
                </w14:textFill>
              </w:rPr>
              <w:t>0GW</w:t>
            </w:r>
            <w:r>
              <w:rPr>
                <w:rFonts w:hint="eastAsia" w:ascii="黑体" w:hAnsi="黑体" w:eastAsia="黑体"/>
                <w:color w:val="000000" w:themeColor="text1"/>
                <w:sz w:val="18"/>
                <w:szCs w:val="18"/>
                <w14:textFill>
                  <w14:solidFill>
                    <w14:schemeClr w14:val="tx1"/>
                  </w14:solidFill>
                </w14:textFill>
              </w:rPr>
              <w:t>h新型锂离子电池</w:t>
            </w:r>
          </w:p>
        </w:tc>
        <w:tc>
          <w:tcPr>
            <w:tcW w:w="1305" w:type="pct"/>
            <w:vMerge w:val="continue"/>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67" w:type="pct"/>
            <w:vMerge w:val="continue"/>
            <w:vAlign w:val="center"/>
          </w:tcPr>
          <w:p>
            <w:pPr>
              <w:spacing w:line="240" w:lineRule="auto"/>
              <w:ind w:firstLine="0" w:firstLineChars="0"/>
              <w:jc w:val="center"/>
              <w:rPr>
                <w:rFonts w:ascii="黑体" w:hAnsi="黑体" w:eastAsia="黑体"/>
                <w:color w:val="FF0000"/>
                <w:sz w:val="18"/>
                <w:szCs w:val="18"/>
              </w:rPr>
            </w:pPr>
          </w:p>
        </w:tc>
        <w:tc>
          <w:tcPr>
            <w:tcW w:w="488"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3</w:t>
            </w:r>
          </w:p>
        </w:tc>
        <w:tc>
          <w:tcPr>
            <w:tcW w:w="569"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清陶能源</w:t>
            </w:r>
          </w:p>
        </w:tc>
        <w:tc>
          <w:tcPr>
            <w:tcW w:w="731"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p>
        </w:tc>
        <w:tc>
          <w:tcPr>
            <w:tcW w:w="1340"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年产</w:t>
            </w:r>
            <w:r>
              <w:rPr>
                <w:rFonts w:ascii="黑体" w:hAnsi="黑体" w:eastAsia="黑体"/>
                <w:color w:val="000000" w:themeColor="text1"/>
                <w:sz w:val="18"/>
                <w:szCs w:val="18"/>
                <w14:textFill>
                  <w14:solidFill>
                    <w14:schemeClr w14:val="tx1"/>
                  </w14:solidFill>
                </w14:textFill>
              </w:rPr>
              <w:t>1GW</w:t>
            </w:r>
            <w:r>
              <w:rPr>
                <w:rFonts w:hint="eastAsia" w:ascii="黑体" w:hAnsi="黑体" w:eastAsia="黑体"/>
                <w:color w:val="000000" w:themeColor="text1"/>
                <w:sz w:val="18"/>
                <w:szCs w:val="18"/>
                <w14:textFill>
                  <w14:solidFill>
                    <w14:schemeClr w14:val="tx1"/>
                  </w14:solidFill>
                </w14:textFill>
              </w:rPr>
              <w:t>h固态电池</w:t>
            </w:r>
          </w:p>
        </w:tc>
        <w:tc>
          <w:tcPr>
            <w:tcW w:w="1305" w:type="pct"/>
            <w:vMerge w:val="continue"/>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67" w:type="pct"/>
            <w:vMerge w:val="continue"/>
            <w:vAlign w:val="center"/>
          </w:tcPr>
          <w:p>
            <w:pPr>
              <w:spacing w:line="240" w:lineRule="auto"/>
              <w:ind w:firstLine="0" w:firstLineChars="0"/>
              <w:jc w:val="center"/>
              <w:rPr>
                <w:rFonts w:ascii="黑体" w:hAnsi="黑体" w:eastAsia="黑体"/>
                <w:color w:val="FF0000"/>
                <w:sz w:val="18"/>
                <w:szCs w:val="18"/>
              </w:rPr>
            </w:pPr>
          </w:p>
        </w:tc>
        <w:tc>
          <w:tcPr>
            <w:tcW w:w="488"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4</w:t>
            </w:r>
          </w:p>
        </w:tc>
        <w:tc>
          <w:tcPr>
            <w:tcW w:w="569"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江西紫宸</w:t>
            </w:r>
          </w:p>
        </w:tc>
        <w:tc>
          <w:tcPr>
            <w:tcW w:w="731"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6万吨前工序产能</w:t>
            </w:r>
          </w:p>
        </w:tc>
        <w:tc>
          <w:tcPr>
            <w:tcW w:w="1340"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p>
        </w:tc>
        <w:tc>
          <w:tcPr>
            <w:tcW w:w="1305" w:type="pct"/>
            <w:vMerge w:val="continue"/>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67" w:type="pct"/>
            <w:vMerge w:val="continue"/>
            <w:vAlign w:val="center"/>
          </w:tcPr>
          <w:p>
            <w:pPr>
              <w:spacing w:line="240" w:lineRule="auto"/>
              <w:ind w:firstLine="0" w:firstLineChars="0"/>
              <w:jc w:val="center"/>
              <w:rPr>
                <w:rFonts w:ascii="黑体" w:hAnsi="黑体" w:eastAsia="黑体"/>
                <w:color w:val="FF0000"/>
                <w:sz w:val="18"/>
                <w:szCs w:val="18"/>
              </w:rPr>
            </w:pPr>
          </w:p>
        </w:tc>
        <w:tc>
          <w:tcPr>
            <w:tcW w:w="488"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5</w:t>
            </w:r>
          </w:p>
        </w:tc>
        <w:tc>
          <w:tcPr>
            <w:tcW w:w="569"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南氏锂电</w:t>
            </w:r>
          </w:p>
        </w:tc>
        <w:tc>
          <w:tcPr>
            <w:tcW w:w="731"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6万吨电池级碳酸锂</w:t>
            </w:r>
          </w:p>
        </w:tc>
        <w:tc>
          <w:tcPr>
            <w:tcW w:w="1340"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p>
        </w:tc>
        <w:tc>
          <w:tcPr>
            <w:tcW w:w="1305" w:type="pct"/>
            <w:vMerge w:val="continue"/>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67" w:type="pct"/>
            <w:vMerge w:val="continue"/>
            <w:vAlign w:val="center"/>
          </w:tcPr>
          <w:p>
            <w:pPr>
              <w:spacing w:line="240" w:lineRule="auto"/>
              <w:ind w:firstLine="0" w:firstLineChars="0"/>
              <w:jc w:val="center"/>
              <w:rPr>
                <w:rFonts w:ascii="黑体" w:hAnsi="黑体" w:eastAsia="黑体"/>
                <w:color w:val="FF0000"/>
                <w:sz w:val="18"/>
                <w:szCs w:val="18"/>
              </w:rPr>
            </w:pPr>
          </w:p>
        </w:tc>
        <w:tc>
          <w:tcPr>
            <w:tcW w:w="488"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6</w:t>
            </w:r>
          </w:p>
        </w:tc>
        <w:tc>
          <w:tcPr>
            <w:tcW w:w="569"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赣锋锂业</w:t>
            </w:r>
          </w:p>
        </w:tc>
        <w:tc>
          <w:tcPr>
            <w:tcW w:w="731"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4</w:t>
            </w:r>
            <w:r>
              <w:rPr>
                <w:rFonts w:ascii="黑体" w:hAnsi="黑体" w:eastAsia="黑体"/>
                <w:color w:val="000000" w:themeColor="text1"/>
                <w:sz w:val="18"/>
                <w:szCs w:val="18"/>
                <w14:textFill>
                  <w14:solidFill>
                    <w14:schemeClr w14:val="tx1"/>
                  </w14:solidFill>
                </w14:textFill>
              </w:rPr>
              <w:t>.3</w:t>
            </w:r>
            <w:r>
              <w:rPr>
                <w:rFonts w:hint="eastAsia" w:ascii="黑体" w:hAnsi="黑体" w:eastAsia="黑体"/>
                <w:color w:val="000000" w:themeColor="text1"/>
                <w:sz w:val="18"/>
                <w:szCs w:val="18"/>
                <w14:textFill>
                  <w14:solidFill>
                    <w14:schemeClr w14:val="tx1"/>
                  </w14:solidFill>
                </w14:textFill>
              </w:rPr>
              <w:t>万吨碳酸锂和8</w:t>
            </w:r>
            <w:r>
              <w:rPr>
                <w:rFonts w:ascii="黑体" w:hAnsi="黑体" w:eastAsia="黑体"/>
                <w:color w:val="000000" w:themeColor="text1"/>
                <w:sz w:val="18"/>
                <w:szCs w:val="18"/>
                <w14:textFill>
                  <w14:solidFill>
                    <w14:schemeClr w14:val="tx1"/>
                  </w14:solidFill>
                </w14:textFill>
              </w:rPr>
              <w:t>.1</w:t>
            </w:r>
            <w:r>
              <w:rPr>
                <w:rFonts w:hint="eastAsia" w:ascii="黑体" w:hAnsi="黑体" w:eastAsia="黑体"/>
                <w:color w:val="000000" w:themeColor="text1"/>
                <w:sz w:val="18"/>
                <w:szCs w:val="18"/>
                <w14:textFill>
                  <w14:solidFill>
                    <w14:schemeClr w14:val="tx1"/>
                  </w14:solidFill>
                </w14:textFill>
              </w:rPr>
              <w:t>万吨氢氧化锂</w:t>
            </w:r>
          </w:p>
        </w:tc>
        <w:tc>
          <w:tcPr>
            <w:tcW w:w="1340"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p>
        </w:tc>
        <w:tc>
          <w:tcPr>
            <w:tcW w:w="1305" w:type="pct"/>
            <w:vMerge w:val="continue"/>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67" w:type="pct"/>
            <w:vMerge w:val="continue"/>
            <w:vAlign w:val="center"/>
          </w:tcPr>
          <w:p>
            <w:pPr>
              <w:spacing w:line="240" w:lineRule="auto"/>
              <w:ind w:firstLine="0" w:firstLineChars="0"/>
              <w:jc w:val="center"/>
              <w:rPr>
                <w:rFonts w:ascii="黑体" w:hAnsi="黑体" w:eastAsia="黑体"/>
                <w:color w:val="FF0000"/>
                <w:sz w:val="18"/>
                <w:szCs w:val="18"/>
              </w:rPr>
            </w:pPr>
          </w:p>
        </w:tc>
        <w:tc>
          <w:tcPr>
            <w:tcW w:w="488"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7</w:t>
            </w:r>
          </w:p>
        </w:tc>
        <w:tc>
          <w:tcPr>
            <w:tcW w:w="569"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明冠新材</w:t>
            </w:r>
          </w:p>
        </w:tc>
        <w:tc>
          <w:tcPr>
            <w:tcW w:w="731"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年产2</w:t>
            </w:r>
            <w:r>
              <w:rPr>
                <w:rFonts w:ascii="黑体" w:hAnsi="黑体" w:eastAsia="黑体"/>
                <w:color w:val="000000" w:themeColor="text1"/>
                <w:sz w:val="18"/>
                <w:szCs w:val="18"/>
                <w14:textFill>
                  <w14:solidFill>
                    <w14:schemeClr w14:val="tx1"/>
                  </w14:solidFill>
                </w14:textFill>
              </w:rPr>
              <w:t>000</w:t>
            </w:r>
            <w:r>
              <w:rPr>
                <w:rFonts w:hint="eastAsia" w:ascii="黑体" w:hAnsi="黑体" w:eastAsia="黑体"/>
                <w:color w:val="000000" w:themeColor="text1"/>
                <w:sz w:val="18"/>
                <w:szCs w:val="18"/>
                <w14:textFill>
                  <w14:solidFill>
                    <w14:schemeClr w14:val="tx1"/>
                  </w14:solidFill>
                </w14:textFill>
              </w:rPr>
              <w:t>万平铝塑膜</w:t>
            </w:r>
          </w:p>
        </w:tc>
        <w:tc>
          <w:tcPr>
            <w:tcW w:w="1340"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规划产能达5</w:t>
            </w:r>
            <w:r>
              <w:rPr>
                <w:rFonts w:ascii="黑体" w:hAnsi="黑体" w:eastAsia="黑体"/>
                <w:color w:val="000000" w:themeColor="text1"/>
                <w:sz w:val="18"/>
                <w:szCs w:val="18"/>
                <w14:textFill>
                  <w14:solidFill>
                    <w14:schemeClr w14:val="tx1"/>
                  </w14:solidFill>
                </w14:textFill>
              </w:rPr>
              <w:t>000</w:t>
            </w:r>
            <w:r>
              <w:rPr>
                <w:rFonts w:hint="eastAsia" w:ascii="黑体" w:hAnsi="黑体" w:eastAsia="黑体"/>
                <w:color w:val="000000" w:themeColor="text1"/>
                <w:sz w:val="18"/>
                <w:szCs w:val="18"/>
                <w14:textFill>
                  <w14:solidFill>
                    <w14:schemeClr w14:val="tx1"/>
                  </w14:solidFill>
                </w14:textFill>
              </w:rPr>
              <w:t>万平</w:t>
            </w:r>
          </w:p>
        </w:tc>
        <w:tc>
          <w:tcPr>
            <w:tcW w:w="1305" w:type="pct"/>
            <w:vMerge w:val="continue"/>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67" w:type="pct"/>
            <w:vMerge w:val="continue"/>
            <w:vAlign w:val="center"/>
          </w:tcPr>
          <w:p>
            <w:pPr>
              <w:spacing w:line="240" w:lineRule="auto"/>
              <w:ind w:firstLine="0" w:firstLineChars="0"/>
              <w:jc w:val="center"/>
              <w:rPr>
                <w:rFonts w:ascii="黑体" w:hAnsi="黑体" w:eastAsia="黑体"/>
                <w:color w:val="FF0000"/>
                <w:sz w:val="18"/>
                <w:szCs w:val="18"/>
              </w:rPr>
            </w:pPr>
          </w:p>
        </w:tc>
        <w:tc>
          <w:tcPr>
            <w:tcW w:w="488"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8</w:t>
            </w:r>
          </w:p>
        </w:tc>
        <w:tc>
          <w:tcPr>
            <w:tcW w:w="569"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天华超净</w:t>
            </w:r>
          </w:p>
        </w:tc>
        <w:tc>
          <w:tcPr>
            <w:tcW w:w="731"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w:t>
            </w:r>
          </w:p>
        </w:tc>
        <w:tc>
          <w:tcPr>
            <w:tcW w:w="1340"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年产1</w:t>
            </w:r>
            <w:r>
              <w:rPr>
                <w:rFonts w:ascii="黑体" w:hAnsi="黑体" w:eastAsia="黑体"/>
                <w:color w:val="000000" w:themeColor="text1"/>
                <w:sz w:val="18"/>
                <w:szCs w:val="18"/>
                <w14:textFill>
                  <w14:solidFill>
                    <w14:schemeClr w14:val="tx1"/>
                  </w14:solidFill>
                </w14:textFill>
              </w:rPr>
              <w:t>0</w:t>
            </w:r>
            <w:r>
              <w:rPr>
                <w:rFonts w:hint="eastAsia" w:ascii="黑体" w:hAnsi="黑体" w:eastAsia="黑体"/>
                <w:color w:val="000000" w:themeColor="text1"/>
                <w:sz w:val="18"/>
                <w:szCs w:val="18"/>
                <w14:textFill>
                  <w14:solidFill>
                    <w14:schemeClr w14:val="tx1"/>
                  </w14:solidFill>
                </w14:textFill>
              </w:rPr>
              <w:t>万吨碳酸锂</w:t>
            </w:r>
          </w:p>
        </w:tc>
        <w:tc>
          <w:tcPr>
            <w:tcW w:w="1305" w:type="pct"/>
            <w:vMerge w:val="continue"/>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67" w:type="pct"/>
            <w:vMerge w:val="restar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九江市</w:t>
            </w:r>
          </w:p>
        </w:tc>
        <w:tc>
          <w:tcPr>
            <w:tcW w:w="488"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8</w:t>
            </w:r>
          </w:p>
        </w:tc>
        <w:tc>
          <w:tcPr>
            <w:tcW w:w="569"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天际股份</w:t>
            </w:r>
          </w:p>
        </w:tc>
        <w:tc>
          <w:tcPr>
            <w:tcW w:w="731"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p>
        </w:tc>
        <w:tc>
          <w:tcPr>
            <w:tcW w:w="1340" w:type="pc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年产3万吨六氟磷酸锂和6</w:t>
            </w:r>
            <w:r>
              <w:rPr>
                <w:rFonts w:ascii="黑体" w:hAnsi="黑体" w:eastAsia="黑体"/>
                <w:color w:val="000000" w:themeColor="text1"/>
                <w:sz w:val="18"/>
                <w:szCs w:val="18"/>
                <w14:textFill>
                  <w14:solidFill>
                    <w14:schemeClr w14:val="tx1"/>
                  </w14:solidFill>
                </w14:textFill>
              </w:rPr>
              <w:t>000</w:t>
            </w:r>
            <w:r>
              <w:rPr>
                <w:rFonts w:hint="eastAsia" w:ascii="黑体" w:hAnsi="黑体" w:eastAsia="黑体"/>
                <w:color w:val="000000" w:themeColor="text1"/>
                <w:sz w:val="18"/>
                <w:szCs w:val="18"/>
                <w14:textFill>
                  <w14:solidFill>
                    <w14:schemeClr w14:val="tx1"/>
                  </w14:solidFill>
                </w14:textFill>
              </w:rPr>
              <w:t>吨氟化锂</w:t>
            </w:r>
          </w:p>
        </w:tc>
        <w:tc>
          <w:tcPr>
            <w:tcW w:w="1305" w:type="pct"/>
            <w:vMerge w:val="restart"/>
            <w:vAlign w:val="center"/>
          </w:tcPr>
          <w:p>
            <w:pPr>
              <w:spacing w:line="240" w:lineRule="auto"/>
              <w:ind w:firstLine="0" w:firstLineChars="0"/>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在</w:t>
            </w:r>
            <w:r>
              <w:rPr>
                <w:rFonts w:ascii="黑体" w:hAnsi="黑体" w:eastAsia="黑体"/>
                <w:color w:val="000000" w:themeColor="text1"/>
                <w:sz w:val="18"/>
                <w:szCs w:val="18"/>
                <w14:textFill>
                  <w14:solidFill>
                    <w14:schemeClr w14:val="tx1"/>
                  </w14:solidFill>
                </w14:textFill>
              </w:rPr>
              <w:t>项目审批、土地指标、能耗指标</w:t>
            </w:r>
            <w:r>
              <w:rPr>
                <w:rFonts w:hint="eastAsia" w:ascii="黑体" w:hAnsi="黑体" w:eastAsia="黑体"/>
                <w:color w:val="000000" w:themeColor="text1"/>
                <w:sz w:val="18"/>
                <w:szCs w:val="18"/>
                <w14:textFill>
                  <w14:solidFill>
                    <w14:schemeClr w14:val="tx1"/>
                  </w14:solidFill>
                </w14:textFill>
              </w:rPr>
              <w:t>等方面对企业进行帮助，同时企业帮扶小组，解决相关问题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67" w:type="pct"/>
            <w:vMerge w:val="continue"/>
            <w:vAlign w:val="center"/>
          </w:tcPr>
          <w:p>
            <w:pPr>
              <w:spacing w:line="240" w:lineRule="auto"/>
              <w:ind w:firstLine="0" w:firstLineChars="0"/>
              <w:jc w:val="center"/>
              <w:rPr>
                <w:rFonts w:ascii="黑体" w:hAnsi="黑体" w:eastAsia="黑体"/>
                <w:sz w:val="18"/>
                <w:szCs w:val="18"/>
              </w:rPr>
            </w:pPr>
          </w:p>
        </w:tc>
        <w:tc>
          <w:tcPr>
            <w:tcW w:w="488"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9</w:t>
            </w:r>
          </w:p>
        </w:tc>
        <w:tc>
          <w:tcPr>
            <w:tcW w:w="569"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九江天赐</w:t>
            </w:r>
          </w:p>
        </w:tc>
        <w:tc>
          <w:tcPr>
            <w:tcW w:w="731" w:type="pct"/>
            <w:vAlign w:val="center"/>
          </w:tcPr>
          <w:p>
            <w:pPr>
              <w:spacing w:line="240" w:lineRule="auto"/>
              <w:ind w:firstLine="0" w:firstLineChars="0"/>
              <w:jc w:val="center"/>
              <w:rPr>
                <w:rFonts w:ascii="黑体" w:hAnsi="黑体" w:eastAsia="黑体"/>
                <w:sz w:val="18"/>
                <w:szCs w:val="18"/>
              </w:rPr>
            </w:pPr>
          </w:p>
        </w:tc>
        <w:tc>
          <w:tcPr>
            <w:tcW w:w="1340"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年产2</w:t>
            </w:r>
            <w:r>
              <w:rPr>
                <w:rFonts w:ascii="黑体" w:hAnsi="黑体" w:eastAsia="黑体"/>
                <w:sz w:val="18"/>
                <w:szCs w:val="18"/>
              </w:rPr>
              <w:t>000</w:t>
            </w:r>
            <w:r>
              <w:rPr>
                <w:rFonts w:hint="eastAsia" w:ascii="黑体" w:hAnsi="黑体" w:eastAsia="黑体"/>
                <w:sz w:val="18"/>
                <w:szCs w:val="18"/>
              </w:rPr>
              <w:t>吨新型锂电解质</w:t>
            </w:r>
          </w:p>
        </w:tc>
        <w:tc>
          <w:tcPr>
            <w:tcW w:w="1305" w:type="pct"/>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67" w:type="pct"/>
            <w:vMerge w:val="restar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赣州市</w:t>
            </w:r>
          </w:p>
        </w:tc>
        <w:tc>
          <w:tcPr>
            <w:tcW w:w="488"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1</w:t>
            </w:r>
            <w:r>
              <w:rPr>
                <w:rFonts w:ascii="黑体" w:hAnsi="黑体" w:eastAsia="黑体"/>
                <w:sz w:val="18"/>
                <w:szCs w:val="18"/>
              </w:rPr>
              <w:t>0</w:t>
            </w:r>
          </w:p>
        </w:tc>
        <w:tc>
          <w:tcPr>
            <w:tcW w:w="569"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吉利科技</w:t>
            </w:r>
          </w:p>
        </w:tc>
        <w:tc>
          <w:tcPr>
            <w:tcW w:w="731" w:type="pct"/>
            <w:vAlign w:val="center"/>
          </w:tcPr>
          <w:p>
            <w:pPr>
              <w:spacing w:line="240" w:lineRule="auto"/>
              <w:ind w:firstLine="0" w:firstLineChars="0"/>
              <w:jc w:val="center"/>
              <w:rPr>
                <w:rFonts w:ascii="黑体" w:hAnsi="黑体" w:eastAsia="黑体"/>
                <w:sz w:val="18"/>
                <w:szCs w:val="18"/>
              </w:rPr>
            </w:pPr>
          </w:p>
        </w:tc>
        <w:tc>
          <w:tcPr>
            <w:tcW w:w="1340"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年产4</w:t>
            </w:r>
            <w:r>
              <w:rPr>
                <w:rFonts w:ascii="黑体" w:hAnsi="黑体" w:eastAsia="黑体"/>
                <w:sz w:val="18"/>
                <w:szCs w:val="18"/>
              </w:rPr>
              <w:t>2GW</w:t>
            </w:r>
            <w:r>
              <w:rPr>
                <w:rFonts w:hint="eastAsia" w:ascii="黑体" w:hAnsi="黑体" w:eastAsia="黑体"/>
                <w:sz w:val="18"/>
                <w:szCs w:val="18"/>
              </w:rPr>
              <w:t>h动力电池</w:t>
            </w:r>
          </w:p>
        </w:tc>
        <w:tc>
          <w:tcPr>
            <w:tcW w:w="1305" w:type="pct"/>
            <w:vMerge w:val="restar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建立锂电产业发展基金，拓宽锂电企业融资渠道；对锂电企业实行增值税返税奖励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67" w:type="pct"/>
            <w:vMerge w:val="continue"/>
            <w:vAlign w:val="center"/>
          </w:tcPr>
          <w:p>
            <w:pPr>
              <w:spacing w:line="240" w:lineRule="auto"/>
              <w:ind w:firstLine="0" w:firstLineChars="0"/>
              <w:jc w:val="center"/>
              <w:rPr>
                <w:rFonts w:ascii="黑体" w:hAnsi="黑体" w:eastAsia="黑体"/>
                <w:sz w:val="18"/>
                <w:szCs w:val="18"/>
              </w:rPr>
            </w:pPr>
          </w:p>
        </w:tc>
        <w:tc>
          <w:tcPr>
            <w:tcW w:w="488"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1</w:t>
            </w:r>
            <w:r>
              <w:rPr>
                <w:rFonts w:ascii="黑体" w:hAnsi="黑体" w:eastAsia="黑体"/>
                <w:sz w:val="18"/>
                <w:szCs w:val="18"/>
              </w:rPr>
              <w:t>1</w:t>
            </w:r>
          </w:p>
        </w:tc>
        <w:tc>
          <w:tcPr>
            <w:tcW w:w="569"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孚能科技</w:t>
            </w:r>
          </w:p>
        </w:tc>
        <w:tc>
          <w:tcPr>
            <w:tcW w:w="731"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5</w:t>
            </w:r>
            <w:r>
              <w:rPr>
                <w:rFonts w:ascii="黑体" w:hAnsi="黑体" w:eastAsia="黑体"/>
                <w:sz w:val="18"/>
                <w:szCs w:val="18"/>
              </w:rPr>
              <w:t>GW</w:t>
            </w:r>
            <w:r>
              <w:rPr>
                <w:rFonts w:hint="eastAsia" w:ascii="黑体" w:hAnsi="黑体" w:eastAsia="黑体"/>
                <w:sz w:val="18"/>
                <w:szCs w:val="18"/>
              </w:rPr>
              <w:t>h动力电池</w:t>
            </w:r>
          </w:p>
        </w:tc>
        <w:tc>
          <w:tcPr>
            <w:tcW w:w="1340"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年产3</w:t>
            </w:r>
            <w:r>
              <w:rPr>
                <w:rFonts w:ascii="黑体" w:hAnsi="黑体" w:eastAsia="黑体"/>
                <w:sz w:val="18"/>
                <w:szCs w:val="18"/>
              </w:rPr>
              <w:t>0GWh</w:t>
            </w:r>
            <w:r>
              <w:rPr>
                <w:rFonts w:hint="eastAsia" w:ascii="黑体" w:hAnsi="黑体" w:eastAsia="黑体"/>
                <w:sz w:val="18"/>
                <w:szCs w:val="18"/>
              </w:rPr>
              <w:t>新能源电池</w:t>
            </w:r>
          </w:p>
        </w:tc>
        <w:tc>
          <w:tcPr>
            <w:tcW w:w="1305" w:type="pct"/>
            <w:vMerge w:val="continue"/>
            <w:vAlign w:val="center"/>
          </w:tcPr>
          <w:p>
            <w:pPr>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67" w:type="pct"/>
            <w:vMerge w:val="continue"/>
            <w:vAlign w:val="center"/>
          </w:tcPr>
          <w:p>
            <w:pPr>
              <w:spacing w:line="240" w:lineRule="auto"/>
              <w:ind w:firstLine="0" w:firstLineChars="0"/>
              <w:jc w:val="center"/>
              <w:rPr>
                <w:rFonts w:ascii="黑体" w:hAnsi="黑体" w:eastAsia="黑体"/>
                <w:sz w:val="18"/>
                <w:szCs w:val="18"/>
              </w:rPr>
            </w:pPr>
          </w:p>
        </w:tc>
        <w:tc>
          <w:tcPr>
            <w:tcW w:w="488"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1</w:t>
            </w:r>
            <w:r>
              <w:rPr>
                <w:rFonts w:ascii="黑体" w:hAnsi="黑体" w:eastAsia="黑体"/>
                <w:sz w:val="18"/>
                <w:szCs w:val="18"/>
              </w:rPr>
              <w:t>2</w:t>
            </w:r>
          </w:p>
        </w:tc>
        <w:tc>
          <w:tcPr>
            <w:tcW w:w="569"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珠海赛纬</w:t>
            </w:r>
          </w:p>
        </w:tc>
        <w:tc>
          <w:tcPr>
            <w:tcW w:w="731"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2</w:t>
            </w:r>
            <w:r>
              <w:rPr>
                <w:rFonts w:ascii="黑体" w:hAnsi="黑体" w:eastAsia="黑体"/>
                <w:sz w:val="18"/>
                <w:szCs w:val="18"/>
              </w:rPr>
              <w:t>000</w:t>
            </w:r>
            <w:r>
              <w:rPr>
                <w:rFonts w:hint="eastAsia" w:ascii="黑体" w:hAnsi="黑体" w:eastAsia="黑体"/>
                <w:sz w:val="18"/>
                <w:szCs w:val="18"/>
              </w:rPr>
              <w:t>吨六氟磷酸锂</w:t>
            </w:r>
          </w:p>
        </w:tc>
        <w:tc>
          <w:tcPr>
            <w:tcW w:w="1340" w:type="pct"/>
            <w:vAlign w:val="center"/>
          </w:tcPr>
          <w:p>
            <w:pPr>
              <w:spacing w:line="240" w:lineRule="auto"/>
              <w:ind w:firstLine="0" w:firstLineChars="0"/>
              <w:jc w:val="center"/>
              <w:rPr>
                <w:rFonts w:ascii="黑体" w:hAnsi="黑体" w:eastAsia="黑体"/>
                <w:sz w:val="18"/>
                <w:szCs w:val="18"/>
              </w:rPr>
            </w:pPr>
            <w:r>
              <w:rPr>
                <w:rFonts w:hint="eastAsia" w:ascii="黑体" w:hAnsi="黑体" w:eastAsia="黑体"/>
                <w:sz w:val="18"/>
                <w:szCs w:val="18"/>
              </w:rPr>
              <w:t>年产4万吨电解液</w:t>
            </w:r>
          </w:p>
        </w:tc>
        <w:tc>
          <w:tcPr>
            <w:tcW w:w="1305" w:type="pct"/>
            <w:vMerge w:val="continue"/>
            <w:vAlign w:val="center"/>
          </w:tcPr>
          <w:p>
            <w:pPr>
              <w:spacing w:line="240" w:lineRule="auto"/>
              <w:ind w:firstLine="0" w:firstLineChars="0"/>
              <w:jc w:val="center"/>
              <w:rPr>
                <w:rFonts w:ascii="黑体" w:hAnsi="黑体" w:eastAsia="黑体"/>
                <w:sz w:val="18"/>
                <w:szCs w:val="18"/>
              </w:rPr>
            </w:pPr>
          </w:p>
        </w:tc>
      </w:tr>
    </w:tbl>
    <w:p>
      <w:pPr>
        <w:spacing w:before="240" w:beforeLines="100"/>
        <w:ind w:firstLine="562"/>
      </w:pPr>
      <w:r>
        <w:rPr>
          <w:rFonts w:hint="eastAsia"/>
          <w:b/>
          <w:bCs/>
        </w:rPr>
        <w:t>发展目标：</w:t>
      </w:r>
      <w:r>
        <w:rPr>
          <w:rFonts w:hint="eastAsia"/>
        </w:rPr>
        <w:t>到2</w:t>
      </w:r>
      <w:r>
        <w:t>025</w:t>
      </w:r>
      <w:r>
        <w:rPr>
          <w:rFonts w:hint="eastAsia"/>
        </w:rPr>
        <w:t>年锂电产业规模达1</w:t>
      </w:r>
      <w:r>
        <w:t>000</w:t>
      </w:r>
      <w:r>
        <w:rPr>
          <w:rFonts w:hint="eastAsia"/>
        </w:rPr>
        <w:t>亿元，力争达1</w:t>
      </w:r>
      <w:r>
        <w:t>200</w:t>
      </w:r>
      <w:r>
        <w:rPr>
          <w:rFonts w:hint="eastAsia"/>
        </w:rPr>
        <w:t>亿元。</w:t>
      </w:r>
    </w:p>
    <w:p>
      <w:pPr>
        <w:ind w:firstLine="562"/>
      </w:pPr>
      <w:r>
        <w:rPr>
          <w:rFonts w:hint="eastAsia"/>
          <w:b/>
          <w:bCs/>
        </w:rPr>
        <w:t>出台政策：</w:t>
      </w:r>
      <w:r>
        <w:t>《江西省“十四五”新能源产业高质量发展规划》</w:t>
      </w:r>
      <w:r>
        <w:rPr>
          <w:rFonts w:hint="eastAsia"/>
        </w:rPr>
        <w:t>、</w:t>
      </w:r>
      <w:r>
        <w:t>《江西省宜春市锂电新能源产业发展规划实行方法》</w:t>
      </w:r>
      <w:r>
        <w:rPr>
          <w:rFonts w:hint="eastAsia"/>
        </w:rPr>
        <w:t>、</w:t>
      </w:r>
      <w:r>
        <w:t>《关于加快锂电新能源产业发展的决定》</w:t>
      </w:r>
      <w:r>
        <w:rPr>
          <w:rFonts w:hint="eastAsia"/>
        </w:rPr>
        <w:t>、</w:t>
      </w:r>
      <w:r>
        <w:t>《</w:t>
      </w:r>
      <w:r>
        <w:rPr>
          <w:rFonts w:hint="eastAsia"/>
        </w:rPr>
        <w:t>赣州市新能源及新能源汽车产业发展规划（2</w:t>
      </w:r>
      <w:r>
        <w:t>021</w:t>
      </w:r>
      <w:r>
        <w:rPr>
          <w:rFonts w:hint="eastAsia"/>
        </w:rPr>
        <w:t>-</w:t>
      </w:r>
      <w:r>
        <w:t>2025</w:t>
      </w:r>
      <w:r>
        <w:rPr>
          <w:rFonts w:hint="eastAsia"/>
        </w:rPr>
        <w:t>年）</w:t>
      </w:r>
      <w:r>
        <w:t>》</w:t>
      </w:r>
      <w:r>
        <w:rPr>
          <w:rFonts w:hint="eastAsia"/>
        </w:rPr>
        <w:t>、</w:t>
      </w:r>
      <w:r>
        <w:t>《</w:t>
      </w:r>
      <w:r>
        <w:rPr>
          <w:rFonts w:hint="eastAsia"/>
        </w:rPr>
        <w:t>九江市“十四五”能源发展规划</w:t>
      </w:r>
      <w:r>
        <w:t>》</w:t>
      </w:r>
      <w:r>
        <w:rPr>
          <w:rFonts w:hint="eastAsia"/>
        </w:rPr>
        <w:t>、《设立新余市锂电产业发展专项资金实施方案》、</w:t>
      </w:r>
      <w:r>
        <w:t>《江西省科技创新“六个一”工程实施意见》</w:t>
      </w:r>
      <w:r>
        <w:rPr>
          <w:rFonts w:hint="eastAsia"/>
        </w:rPr>
        <w:t>。</w:t>
      </w:r>
    </w:p>
    <w:p>
      <w:pPr>
        <w:ind w:firstLine="562"/>
      </w:pPr>
      <w:r>
        <w:rPr>
          <w:rFonts w:hint="eastAsia"/>
          <w:b/>
          <w:bCs/>
        </w:rPr>
        <w:t>经验借鉴：</w:t>
      </w:r>
      <w:r>
        <w:rPr>
          <w:rFonts w:hint="eastAsia"/>
        </w:rPr>
        <w:t>资源上，宜春锂云母资源和赣州稀土资源，能为锂电产业发展提供充足的原材料；产业政策上，省政府和相关地市高度重视新能源锂电产业发展，出台多项支持新能源锂电产业发展的配套政策；产业招商上，围绕区域内的赣锋锂业，招引包括宁德时代、国轩高科等在内的多家锂电龙头企业，实现锂电产业链全覆盖。</w:t>
      </w:r>
    </w:p>
    <w:p>
      <w:pPr>
        <w:pStyle w:val="4"/>
        <w:ind w:left="412"/>
      </w:pPr>
      <w:bookmarkStart w:id="42" w:name="_Toc118298121"/>
      <w:r>
        <w:rPr>
          <w:rFonts w:hint="eastAsia"/>
        </w:rPr>
        <w:t>（四）对贵州省新能源电池及材料产业发展的启示</w:t>
      </w:r>
      <w:bookmarkEnd w:id="42"/>
    </w:p>
    <w:p>
      <w:pPr>
        <w:ind w:firstLine="560"/>
      </w:pPr>
      <w:r>
        <w:rPr>
          <w:rFonts w:hint="eastAsia"/>
        </w:rPr>
        <w:t>上述省份新能源电池及材料产业发展经验对贵州省有一定的借鉴作用：</w:t>
      </w:r>
    </w:p>
    <w:p>
      <w:pPr>
        <w:ind w:firstLine="560"/>
        <w:rPr>
          <w:bCs/>
        </w:rPr>
      </w:pPr>
      <w:r>
        <w:rPr>
          <w:rFonts w:hint="eastAsia"/>
        </w:rPr>
        <w:t>（一）</w:t>
      </w:r>
      <w:r>
        <w:rPr>
          <w:rFonts w:hint="eastAsia"/>
          <w:b/>
        </w:rPr>
        <w:t>实行区域错位发展，</w:t>
      </w:r>
      <w:r>
        <w:rPr>
          <w:rFonts w:hint="eastAsia"/>
          <w:bCs/>
        </w:rPr>
        <w:t>省内各地区应根据本地实际情况和资源禀赋发展相关新能源电池及材料产业，优势互补，实行</w:t>
      </w:r>
      <w:r>
        <w:rPr>
          <w:rFonts w:hint="eastAsia"/>
          <w:color w:val="000000" w:themeColor="text1"/>
          <w14:textFill>
            <w14:solidFill>
              <w14:schemeClr w14:val="tx1"/>
            </w14:solidFill>
          </w14:textFill>
        </w:rPr>
        <w:t>城市群错位发展，打造区域产业集群，构建省内新能源电池及材料生产供应链</w:t>
      </w:r>
      <w:r>
        <w:rPr>
          <w:rFonts w:hint="eastAsia"/>
          <w:bCs/>
        </w:rPr>
        <w:t>。</w:t>
      </w:r>
    </w:p>
    <w:p>
      <w:pPr>
        <w:ind w:firstLine="560"/>
      </w:pPr>
      <w:r>
        <w:rPr>
          <w:rFonts w:hint="eastAsia"/>
        </w:rPr>
        <w:t>（二）</w:t>
      </w:r>
      <w:r>
        <w:rPr>
          <w:rFonts w:hint="eastAsia"/>
          <w:b/>
        </w:rPr>
        <w:t>利用好矿产资源优势</w:t>
      </w:r>
      <w:r>
        <w:rPr>
          <w:rFonts w:hint="eastAsia"/>
        </w:rPr>
        <w:t>，目前贵州省内有丰富的磷矿和锰矿资源，应围绕磷矿和锰矿资源，大力发展磷酸盐系正极材料和三元正极材料，以此为依托，积极向新能源电池及材料产业链下游延伸，不断拓宽新能源电池及材料产业链条，打造完整的新能源电池及材料产业链。</w:t>
      </w:r>
    </w:p>
    <w:p>
      <w:pPr>
        <w:ind w:firstLine="560"/>
      </w:pPr>
      <w:r>
        <w:rPr>
          <w:rFonts w:hint="eastAsia"/>
        </w:rPr>
        <w:t>（三）</w:t>
      </w:r>
      <w:r>
        <w:rPr>
          <w:rFonts w:hint="eastAsia"/>
          <w:b/>
        </w:rPr>
        <w:t>围绕龙头企业进行招商，</w:t>
      </w:r>
      <w:r>
        <w:rPr>
          <w:rFonts w:hint="eastAsia"/>
        </w:rPr>
        <w:t>对于已引进的新能源电池及材料龙头企业，要对其产品规模化项目、重点企业关键核心技术研发及产业化项目、中心企业自主创新研发项目进行重点扶持。以“龙头企业”为核心造链，招引相关龙头企业的配套产品供应企业，实现产业链集聚，打造具有影响力的新能源电池及材料产业集聚区。</w:t>
      </w:r>
    </w:p>
    <w:p>
      <w:pPr>
        <w:ind w:firstLine="560"/>
      </w:pPr>
      <w:r>
        <w:rPr>
          <w:rFonts w:hint="eastAsia"/>
        </w:rPr>
        <w:t>（四）</w:t>
      </w:r>
      <w:r>
        <w:rPr>
          <w:rFonts w:hint="eastAsia"/>
          <w:b/>
        </w:rPr>
        <w:t>配套相应优惠政策，</w:t>
      </w:r>
      <w:r>
        <w:rPr>
          <w:rFonts w:hint="eastAsia"/>
          <w:bCs/>
        </w:rPr>
        <w:t>对</w:t>
      </w:r>
      <w:r>
        <w:rPr>
          <w:rFonts w:hint="eastAsia"/>
        </w:rPr>
        <w:t>新能源电池及材料相关企业要配套相应的优惠政策，在土地、资金、水电、技术等方面对企业进行扶持帮助。对企业发展过程中所面临的问题要成立工作专班，实行重点项目跟踪，确保重点项目落地落实。</w:t>
      </w:r>
    </w:p>
    <w:p>
      <w:pPr>
        <w:pStyle w:val="3"/>
        <w:sectPr>
          <w:footerReference r:id="rId14" w:type="default"/>
          <w:pgSz w:w="11906" w:h="16838"/>
          <w:pgMar w:top="1418" w:right="1531" w:bottom="1701" w:left="1531" w:header="851" w:footer="992" w:gutter="0"/>
          <w:pgNumType w:fmt="numberInDash" w:start="1"/>
          <w:cols w:space="425" w:num="1"/>
          <w:docGrid w:linePitch="312" w:charSpace="0"/>
        </w:sectPr>
      </w:pPr>
    </w:p>
    <w:p>
      <w:pPr>
        <w:pStyle w:val="3"/>
      </w:pPr>
      <w:bookmarkStart w:id="43" w:name="_Toc118298122"/>
      <w:r>
        <w:rPr>
          <w:rFonts w:hint="eastAsia"/>
        </w:rPr>
        <w:t>四、总体要求</w:t>
      </w:r>
      <w:bookmarkEnd w:id="43"/>
    </w:p>
    <w:p>
      <w:pPr>
        <w:pStyle w:val="4"/>
        <w:ind w:left="412"/>
      </w:pPr>
      <w:bookmarkStart w:id="44" w:name="_Toc118298123"/>
      <w:r>
        <w:rPr>
          <w:rFonts w:hint="eastAsia"/>
        </w:rPr>
        <w:t>（一）指导思想</w:t>
      </w:r>
      <w:bookmarkEnd w:id="44"/>
    </w:p>
    <w:p>
      <w:pPr>
        <w:ind w:firstLine="560"/>
      </w:pPr>
      <w:r>
        <w:rPr>
          <w:rFonts w:hint="eastAsia"/>
        </w:rPr>
        <w:t>以习近平新时代中国特色社会主义思想为指导，全面贯彻党的十九大和十九届历次全会精神及习近平总书记视察贵州重要讲话精神，立足新发展阶段，贯彻新发展理念，融入新发展格局，依托资源优势和产业基础，以新能源电池和上游材料的发展为主线，多元发展配套产业、拓展下游应用、建立高效循环体系，同时构建良好的产业环境和创新发展能力，进一步强化“一核两区”产业发展格局，推进全省新能源电池及材料产业可持续发展。通过高端补链、终端延链、整体强链，推动构建“基于磷而高于磷”产业生态体系，将我省打造成为具有国际竞争力的新能源动力电池及材料研发生产基地。</w:t>
      </w:r>
    </w:p>
    <w:p>
      <w:pPr>
        <w:pStyle w:val="4"/>
        <w:ind w:left="412"/>
      </w:pPr>
      <w:bookmarkStart w:id="45" w:name="_Toc118298124"/>
      <w:r>
        <w:rPr>
          <w:rFonts w:hint="eastAsia"/>
        </w:rPr>
        <w:t>（二）基本原则</w:t>
      </w:r>
      <w:bookmarkEnd w:id="45"/>
    </w:p>
    <w:p>
      <w:pPr>
        <w:ind w:firstLine="562"/>
      </w:pPr>
      <w:r>
        <w:rPr>
          <w:rFonts w:hint="eastAsia"/>
          <w:b/>
          <w:bCs/>
        </w:rPr>
        <w:t>政府引导，市场驱动。</w:t>
      </w:r>
      <w:r>
        <w:rPr>
          <w:rFonts w:hint="eastAsia"/>
        </w:rPr>
        <w:t>充分发挥政府在新能源电池及材料产业发展顶层设计、规划制定、资源整合等方面的引导作用；发挥市场在资源配置中的决定性作用；强化企业在技术路线选择、生产服务体系建设等方面的主体地位。坚持政府与市场的有效结合，为产业发展营造良好环境。</w:t>
      </w:r>
    </w:p>
    <w:p>
      <w:pPr>
        <w:ind w:firstLine="562"/>
      </w:pPr>
      <w:r>
        <w:rPr>
          <w:rFonts w:hint="eastAsia"/>
          <w:b/>
          <w:bCs/>
        </w:rPr>
        <w:t>系统谋划，协调推进。</w:t>
      </w:r>
      <w:r>
        <w:rPr>
          <w:rFonts w:hint="eastAsia"/>
        </w:rPr>
        <w:t>围绕全球先进的新能源动力电池及材料研发生产基地建设目标，强化“一核两区”的产业布局，系统谋划一批标志性产业链和产业集群，统筹组织协调、要素保障、统筹规划、宣传引导等保障措施。加强研发与产业化、生产与应用、产业链上下游、集群纵横向的相互衔接，努力提升产业链供应链现代化水平。</w:t>
      </w:r>
    </w:p>
    <w:p>
      <w:pPr>
        <w:ind w:firstLine="562"/>
      </w:pPr>
      <w:r>
        <w:rPr>
          <w:rFonts w:hint="eastAsia"/>
          <w:b/>
          <w:bCs/>
        </w:rPr>
        <w:t>盘活存量，引进增量。</w:t>
      </w:r>
      <w:r>
        <w:rPr>
          <w:rFonts w:hint="eastAsia"/>
        </w:rPr>
        <w:t>引导和推动本地新能源电池及材料企业项目建设及产能释放，推进在建项目加速建成投产，政策性出清无效产能，提升产能利用率，为引进优质新产能创造条件。同时积极引进行业领先及技术成果转化的企业及项目，实现产业高质量发展。</w:t>
      </w:r>
    </w:p>
    <w:p>
      <w:pPr>
        <w:ind w:firstLine="562"/>
        <w:rPr>
          <w:color w:val="FF0000"/>
        </w:rPr>
      </w:pPr>
      <w:r>
        <w:rPr>
          <w:rFonts w:hint="eastAsia"/>
          <w:b/>
          <w:bCs/>
        </w:rPr>
        <w:t>创新驱动，跨越赶超。</w:t>
      </w:r>
      <w:r>
        <w:rPr>
          <w:rFonts w:hint="eastAsia"/>
        </w:rPr>
        <w:t>坚持建立以企业为主体、市场为导向、产学研用协同的技术创新体系，完善激励和保护创新的制度环境，支持各类主体合力攻克关键核心技术、加大商业模式创新力度，形成产业创新生态。短期以锂离子电池及关键材料为产业发展重点，同时积极谋划发展固态电池、燃料电池等新型电池体系，实现跨越赶超。</w:t>
      </w:r>
    </w:p>
    <w:p>
      <w:pPr>
        <w:pStyle w:val="4"/>
        <w:ind w:left="412"/>
      </w:pPr>
      <w:bookmarkStart w:id="46" w:name="_Toc118298125"/>
      <w:r>
        <w:rPr>
          <w:rFonts w:hint="eastAsia"/>
        </w:rPr>
        <w:t>（三）发展目标</w:t>
      </w:r>
      <w:bookmarkEnd w:id="46"/>
    </w:p>
    <w:p>
      <w:pPr>
        <w:pStyle w:val="5"/>
        <w:ind w:left="412" w:firstLine="562"/>
      </w:pPr>
      <w:bookmarkStart w:id="47" w:name="_Toc118298126"/>
      <w:r>
        <w:rPr>
          <w:rFonts w:hint="eastAsia"/>
        </w:rPr>
        <w:t>1</w:t>
      </w:r>
      <w:r>
        <w:t xml:space="preserve">. </w:t>
      </w:r>
      <w:r>
        <w:rPr>
          <w:rFonts w:hint="eastAsia"/>
        </w:rPr>
        <w:t>总体发展目标</w:t>
      </w:r>
      <w:bookmarkEnd w:id="47"/>
    </w:p>
    <w:p>
      <w:pPr>
        <w:ind w:firstLine="562"/>
      </w:pPr>
      <w:r>
        <w:rPr>
          <w:rFonts w:hint="eastAsia"/>
          <w:b/>
          <w:bCs/>
        </w:rPr>
        <w:t>到2</w:t>
      </w:r>
      <w:r>
        <w:rPr>
          <w:b/>
          <w:bCs/>
        </w:rPr>
        <w:t>025</w:t>
      </w:r>
      <w:r>
        <w:rPr>
          <w:rFonts w:hint="eastAsia"/>
          <w:b/>
          <w:bCs/>
        </w:rPr>
        <w:t>年，</w:t>
      </w:r>
      <w:r>
        <w:rPr>
          <w:rFonts w:hint="eastAsia"/>
        </w:rPr>
        <w:t>新能源电池及材料产业取得明显进展，全省新能源电池及材料产业规模实现倍增，力争突破</w:t>
      </w:r>
      <w:r>
        <w:t>5000</w:t>
      </w:r>
      <w:r>
        <w:rPr>
          <w:rFonts w:hint="eastAsia"/>
        </w:rPr>
        <w:t>亿元，成为全省经济又一重要增长极。产业规模快速增长，产业结构不断优化，企业质量明显改善，创新能力大幅提升，进入国内新能源动力电池及材料研发生产基地第一梯队，国际影响力显著提升。</w:t>
      </w:r>
    </w:p>
    <w:p>
      <w:pPr>
        <w:ind w:firstLine="562"/>
      </w:pPr>
      <w:r>
        <w:rPr>
          <w:rFonts w:hint="eastAsia"/>
          <w:b/>
          <w:bCs/>
        </w:rPr>
        <w:t>——产业规模快速增长。</w:t>
      </w:r>
      <w:r>
        <w:rPr>
          <w:rFonts w:hint="eastAsia"/>
        </w:rPr>
        <w:t>到202</w:t>
      </w:r>
      <w:r>
        <w:t>5</w:t>
      </w:r>
      <w:r>
        <w:rPr>
          <w:rFonts w:hint="eastAsia"/>
        </w:rPr>
        <w:t>年，形成年生产动力电池120GWh，正极材料及其上游原材料</w:t>
      </w:r>
      <w:r>
        <w:t>600</w:t>
      </w:r>
      <w:r>
        <w:rPr>
          <w:rFonts w:hint="eastAsia"/>
        </w:rPr>
        <w:t>万吨，负极材料及其上游原材料</w:t>
      </w:r>
      <w:r>
        <w:t>80</w:t>
      </w:r>
      <w:r>
        <w:rPr>
          <w:rFonts w:hint="eastAsia"/>
        </w:rPr>
        <w:t>万吨，隔膜1</w:t>
      </w:r>
      <w:r>
        <w:t>5</w:t>
      </w:r>
      <w:r>
        <w:rPr>
          <w:rFonts w:hint="eastAsia"/>
        </w:rPr>
        <w:t>亿平，电解液及其上游原材料</w:t>
      </w:r>
      <w:r>
        <w:t>45</w:t>
      </w:r>
      <w:r>
        <w:rPr>
          <w:rFonts w:hint="eastAsia"/>
        </w:rPr>
        <w:t>万吨，电池回收规模4</w:t>
      </w:r>
      <w:r>
        <w:t>0</w:t>
      </w:r>
      <w:r>
        <w:rPr>
          <w:rFonts w:hint="eastAsia"/>
        </w:rPr>
        <w:t>万吨以及配套的其他辅材等，力争实现规上工业产值达到</w:t>
      </w:r>
      <w:r>
        <w:t>5000</w:t>
      </w:r>
      <w:r>
        <w:rPr>
          <w:rFonts w:hint="eastAsia"/>
        </w:rPr>
        <w:t>亿元以上。</w:t>
      </w:r>
    </w:p>
    <w:p>
      <w:pPr>
        <w:ind w:firstLine="562"/>
      </w:pPr>
      <w:r>
        <w:rPr>
          <w:rFonts w:hint="eastAsia"/>
          <w:b/>
          <w:bCs/>
        </w:rPr>
        <w:t>——产业结构不断优化。</w:t>
      </w:r>
      <w:r>
        <w:rPr>
          <w:rFonts w:hint="eastAsia"/>
        </w:rPr>
        <w:t>到202</w:t>
      </w:r>
      <w:r>
        <w:t>5</w:t>
      </w:r>
      <w:r>
        <w:rPr>
          <w:rFonts w:hint="eastAsia"/>
        </w:rPr>
        <w:t>年，基本形成锂矿原料—基础锂盐—电池四大材料及辅材—电池结构件/设备—电芯—电池模组—电池回收及电池检测平台的完整产业链体系,促进动力电池产业链上中下游协同发展，到2</w:t>
      </w:r>
      <w:r>
        <w:t>025</w:t>
      </w:r>
      <w:r>
        <w:rPr>
          <w:rFonts w:hint="eastAsia"/>
        </w:rPr>
        <w:t>年，全产业链产品的全产业产品种类比重达到5</w:t>
      </w:r>
      <w:r>
        <w:t>0%</w:t>
      </w:r>
      <w:r>
        <w:rPr>
          <w:rFonts w:hint="eastAsia"/>
        </w:rPr>
        <w:t>。同时，充分利用各研发平台实现成果转化，新型先进技术及高端产品比重达到2</w:t>
      </w:r>
      <w:r>
        <w:t>0%</w:t>
      </w:r>
      <w:r>
        <w:rPr>
          <w:rFonts w:hint="eastAsia"/>
        </w:rPr>
        <w:t>。</w:t>
      </w:r>
    </w:p>
    <w:p>
      <w:pPr>
        <w:ind w:firstLine="562"/>
      </w:pPr>
      <w:r>
        <w:rPr>
          <w:rFonts w:hint="eastAsia"/>
          <w:b/>
          <w:bCs/>
        </w:rPr>
        <w:t>——企业质量明显改善。</w:t>
      </w:r>
      <w:r>
        <w:rPr>
          <w:rFonts w:hint="eastAsia"/>
        </w:rPr>
        <w:t>积极辅导各类企业融资及上市，提升我省新能源电池及材料产业的企业质量。到2</w:t>
      </w:r>
      <w:r>
        <w:t>025</w:t>
      </w:r>
      <w:r>
        <w:rPr>
          <w:rFonts w:hint="eastAsia"/>
        </w:rPr>
        <w:t>年，建成数字化转型或智能制造示范企业10家，主营业务收入过100亿企业10家，主营业务收入过50亿企业20家，上市企业数量5家。</w:t>
      </w:r>
    </w:p>
    <w:p>
      <w:pPr>
        <w:ind w:firstLine="562"/>
      </w:pPr>
      <w:r>
        <w:rPr>
          <w:rFonts w:hint="eastAsia"/>
          <w:b/>
          <w:bCs/>
        </w:rPr>
        <w:t>——创新能力大幅提升。</w:t>
      </w:r>
      <w:r>
        <w:rPr>
          <w:rFonts w:hint="eastAsia"/>
        </w:rPr>
        <w:t>鼓励企业成立和发展各类创新平台，提升产业创新能力。到2</w:t>
      </w:r>
      <w:r>
        <w:t>025</w:t>
      </w:r>
      <w:r>
        <w:rPr>
          <w:rFonts w:hint="eastAsia"/>
        </w:rPr>
        <w:t>年，建成新能源电池及材料产业相关的国家级技术中心2个，新能源电池及材料产业相关的省级技术中心10个，新能源电池及材料产业相关的国家级第三方平台1个。</w:t>
      </w:r>
    </w:p>
    <w:p>
      <w:pPr>
        <w:ind w:firstLine="562"/>
      </w:pPr>
      <w:r>
        <w:rPr>
          <w:rFonts w:hint="eastAsia"/>
          <w:b/>
          <w:bCs/>
        </w:rPr>
        <w:t>到2</w:t>
      </w:r>
      <w:r>
        <w:rPr>
          <w:b/>
          <w:bCs/>
        </w:rPr>
        <w:t>030</w:t>
      </w:r>
      <w:r>
        <w:rPr>
          <w:rFonts w:hint="eastAsia"/>
          <w:b/>
          <w:bCs/>
        </w:rPr>
        <w:t>年，</w:t>
      </w:r>
      <w:r>
        <w:rPr>
          <w:rFonts w:hint="eastAsia"/>
        </w:rPr>
        <w:t>全面建成国际化新能源动力电池及材料研发生产基地，新能源电池及材料产业成为全省支柱性产业之一，产业规模达到万亿级。</w:t>
      </w:r>
    </w:p>
    <w:p>
      <w:pPr>
        <w:pStyle w:val="5"/>
        <w:pageBreakBefore/>
        <w:ind w:left="414" w:firstLine="562"/>
      </w:pPr>
      <w:bookmarkStart w:id="48" w:name="_Toc118298127"/>
      <w:r>
        <w:t xml:space="preserve">2. </w:t>
      </w:r>
      <w:r>
        <w:rPr>
          <w:rFonts w:hint="eastAsia"/>
        </w:rPr>
        <w:t>分环节发展目标</w:t>
      </w:r>
      <w:bookmarkEnd w:id="48"/>
    </w:p>
    <w:p>
      <w:pPr>
        <w:ind w:firstLine="170" w:firstLineChars="71"/>
        <w:jc w:val="center"/>
        <w:rPr>
          <w:rFonts w:ascii="黑体" w:hAnsi="黑体" w:eastAsia="黑体" w:cs="黑体"/>
          <w:sz w:val="24"/>
          <w:szCs w:val="24"/>
        </w:rPr>
      </w:pPr>
      <w:r>
        <w:rPr>
          <w:rFonts w:hint="eastAsia" w:ascii="黑体" w:hAnsi="黑体" w:eastAsia="黑体" w:cs="黑体"/>
          <w:sz w:val="24"/>
          <w:szCs w:val="24"/>
        </w:rPr>
        <w:t>贵州省新能源电池及材料产业发展主要指标</w:t>
      </w:r>
    </w:p>
    <w:tbl>
      <w:tblPr>
        <w:tblStyle w:val="2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21"/>
        <w:gridCol w:w="614"/>
        <w:gridCol w:w="840"/>
        <w:gridCol w:w="2045"/>
        <w:gridCol w:w="648"/>
        <w:gridCol w:w="534"/>
        <w:gridCol w:w="830"/>
        <w:gridCol w:w="352"/>
        <w:gridCol w:w="1010"/>
        <w:gridCol w:w="172"/>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restart"/>
            <w:shd w:val="clear" w:color="auto" w:fill="5B9BD5" w:themeFill="accent5"/>
            <w:vAlign w:val="center"/>
          </w:tcPr>
          <w:p>
            <w:pPr>
              <w:spacing w:line="240" w:lineRule="auto"/>
              <w:ind w:firstLine="0" w:firstLineChars="0"/>
              <w:jc w:val="center"/>
              <w:rPr>
                <w:rFonts w:ascii="黑体" w:hAnsi="黑体" w:eastAsia="黑体" w:cs="宋体"/>
                <w:b/>
                <w:bCs/>
                <w:color w:val="FFFFFF" w:themeColor="background1"/>
                <w:kern w:val="0"/>
                <w:sz w:val="20"/>
                <w:szCs w:val="20"/>
                <w14:textFill>
                  <w14:solidFill>
                    <w14:schemeClr w14:val="bg1"/>
                  </w14:solidFill>
                </w14:textFill>
              </w:rPr>
            </w:pPr>
            <w:r>
              <w:rPr>
                <w:rFonts w:hint="eastAsia" w:ascii="黑体" w:hAnsi="黑体" w:eastAsia="黑体" w:cs="宋体"/>
                <w:b/>
                <w:bCs/>
                <w:color w:val="FFFFFF" w:themeColor="background1"/>
                <w:kern w:val="0"/>
                <w:sz w:val="20"/>
                <w:szCs w:val="20"/>
                <w14:textFill>
                  <w14:solidFill>
                    <w14:schemeClr w14:val="bg1"/>
                  </w14:solidFill>
                </w14:textFill>
              </w:rPr>
              <w:t>分类</w:t>
            </w:r>
          </w:p>
        </w:tc>
        <w:tc>
          <w:tcPr>
            <w:tcW w:w="347" w:type="pct"/>
            <w:vMerge w:val="restart"/>
            <w:shd w:val="clear" w:color="auto" w:fill="5B9BD5" w:themeFill="accent5"/>
            <w:vAlign w:val="center"/>
          </w:tcPr>
          <w:p>
            <w:pPr>
              <w:spacing w:line="240" w:lineRule="auto"/>
              <w:ind w:firstLine="0" w:firstLineChars="0"/>
              <w:jc w:val="center"/>
              <w:rPr>
                <w:rFonts w:ascii="黑体" w:hAnsi="黑体" w:eastAsia="黑体" w:cs="宋体"/>
                <w:b/>
                <w:bCs/>
                <w:color w:val="FFFFFF" w:themeColor="background1"/>
                <w:kern w:val="0"/>
                <w:sz w:val="20"/>
                <w:szCs w:val="20"/>
                <w14:textFill>
                  <w14:solidFill>
                    <w14:schemeClr w14:val="bg1"/>
                  </w14:solidFill>
                </w14:textFill>
              </w:rPr>
            </w:pPr>
            <w:r>
              <w:rPr>
                <w:rFonts w:hint="eastAsia" w:ascii="黑体" w:hAnsi="黑体" w:eastAsia="黑体" w:cs="宋体"/>
                <w:b/>
                <w:bCs/>
                <w:color w:val="FFFFFF" w:themeColor="background1"/>
                <w:kern w:val="0"/>
                <w:sz w:val="20"/>
                <w:szCs w:val="20"/>
                <w14:textFill>
                  <w14:solidFill>
                    <w14:schemeClr w14:val="bg1"/>
                  </w14:solidFill>
                </w14:textFill>
              </w:rPr>
              <w:t>序号</w:t>
            </w:r>
          </w:p>
        </w:tc>
        <w:tc>
          <w:tcPr>
            <w:tcW w:w="1631" w:type="pct"/>
            <w:gridSpan w:val="2"/>
            <w:vMerge w:val="restart"/>
            <w:shd w:val="clear" w:color="auto" w:fill="5B9BD5" w:themeFill="accent5"/>
            <w:vAlign w:val="center"/>
          </w:tcPr>
          <w:p>
            <w:pPr>
              <w:spacing w:line="240" w:lineRule="auto"/>
              <w:ind w:firstLine="0" w:firstLineChars="0"/>
              <w:jc w:val="center"/>
              <w:rPr>
                <w:rFonts w:ascii="黑体" w:hAnsi="黑体" w:eastAsia="黑体" w:cs="宋体"/>
                <w:b/>
                <w:bCs/>
                <w:color w:val="FFFFFF" w:themeColor="background1"/>
                <w:kern w:val="0"/>
                <w:sz w:val="20"/>
                <w:szCs w:val="20"/>
                <w14:textFill>
                  <w14:solidFill>
                    <w14:schemeClr w14:val="bg1"/>
                  </w14:solidFill>
                </w14:textFill>
              </w:rPr>
            </w:pPr>
            <w:r>
              <w:rPr>
                <w:rFonts w:hint="eastAsia" w:ascii="黑体" w:hAnsi="黑体" w:eastAsia="黑体" w:cs="宋体"/>
                <w:b/>
                <w:bCs/>
                <w:color w:val="FFFFFF" w:themeColor="background1"/>
                <w:kern w:val="0"/>
                <w:sz w:val="20"/>
                <w:szCs w:val="20"/>
                <w14:textFill>
                  <w14:solidFill>
                    <w14:schemeClr w14:val="bg1"/>
                  </w14:solidFill>
                </w14:textFill>
              </w:rPr>
              <w:t>指标</w:t>
            </w:r>
          </w:p>
        </w:tc>
        <w:tc>
          <w:tcPr>
            <w:tcW w:w="1336" w:type="pct"/>
            <w:gridSpan w:val="4"/>
            <w:shd w:val="clear" w:color="auto" w:fill="5B9BD5" w:themeFill="accent5"/>
            <w:vAlign w:val="center"/>
          </w:tcPr>
          <w:p>
            <w:pPr>
              <w:widowControl/>
              <w:spacing w:line="240" w:lineRule="auto"/>
              <w:ind w:firstLine="0" w:firstLineChars="0"/>
              <w:jc w:val="center"/>
              <w:rPr>
                <w:rFonts w:ascii="黑体" w:hAnsi="黑体" w:eastAsia="黑体" w:cs="宋体"/>
                <w:b/>
                <w:bCs/>
                <w:color w:val="FFFFFF" w:themeColor="background1"/>
                <w:kern w:val="0"/>
                <w:sz w:val="20"/>
                <w:szCs w:val="20"/>
                <w14:textFill>
                  <w14:solidFill>
                    <w14:schemeClr w14:val="bg1"/>
                  </w14:solidFill>
                </w14:textFill>
              </w:rPr>
            </w:pPr>
            <w:r>
              <w:rPr>
                <w:rFonts w:hint="eastAsia" w:ascii="黑体" w:hAnsi="黑体" w:eastAsia="黑体" w:cs="宋体"/>
                <w:b/>
                <w:bCs/>
                <w:color w:val="FFFFFF" w:themeColor="background1"/>
                <w:kern w:val="0"/>
                <w:sz w:val="20"/>
                <w:szCs w:val="20"/>
                <w14:textFill>
                  <w14:solidFill>
                    <w14:schemeClr w14:val="bg1"/>
                  </w14:solidFill>
                </w14:textFill>
              </w:rPr>
              <w:t>产能规模</w:t>
            </w:r>
          </w:p>
        </w:tc>
        <w:tc>
          <w:tcPr>
            <w:tcW w:w="1335" w:type="pct"/>
            <w:gridSpan w:val="3"/>
            <w:shd w:val="clear" w:color="auto" w:fill="5B9BD5" w:themeFill="accent5"/>
            <w:vAlign w:val="center"/>
          </w:tcPr>
          <w:p>
            <w:pPr>
              <w:widowControl/>
              <w:spacing w:line="240" w:lineRule="auto"/>
              <w:ind w:firstLine="0" w:firstLineChars="0"/>
              <w:jc w:val="center"/>
              <w:rPr>
                <w:rFonts w:ascii="黑体" w:hAnsi="黑体" w:eastAsia="黑体" w:cs="宋体"/>
                <w:b/>
                <w:bCs/>
                <w:color w:val="FFFFFF" w:themeColor="background1"/>
                <w:kern w:val="0"/>
                <w:sz w:val="20"/>
                <w:szCs w:val="20"/>
                <w14:textFill>
                  <w14:solidFill>
                    <w14:schemeClr w14:val="bg1"/>
                  </w14:solidFill>
                </w14:textFill>
              </w:rPr>
            </w:pPr>
            <w:r>
              <w:rPr>
                <w:rFonts w:hint="eastAsia" w:ascii="黑体" w:hAnsi="黑体" w:eastAsia="黑体" w:cs="宋体"/>
                <w:b/>
                <w:bCs/>
                <w:color w:val="FFFFFF" w:themeColor="background1"/>
                <w:kern w:val="0"/>
                <w:sz w:val="20"/>
                <w:szCs w:val="20"/>
                <w14:textFill>
                  <w14:solidFill>
                    <w14:schemeClr w14:val="bg1"/>
                  </w14:solidFill>
                </w14:textFill>
              </w:rPr>
              <w:t>产值（亿元）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continue"/>
            <w:shd w:val="clear" w:color="auto" w:fill="5B9BD5" w:themeFill="accent5"/>
            <w:vAlign w:val="center"/>
          </w:tcPr>
          <w:p>
            <w:pPr>
              <w:widowControl/>
              <w:spacing w:line="240" w:lineRule="auto"/>
              <w:ind w:firstLine="0" w:firstLineChars="0"/>
              <w:jc w:val="center"/>
              <w:rPr>
                <w:rFonts w:ascii="黑体" w:hAnsi="黑体" w:eastAsia="黑体" w:cs="宋体"/>
                <w:b/>
                <w:bCs/>
                <w:color w:val="FFFFFF" w:themeColor="background1"/>
                <w:kern w:val="0"/>
                <w:sz w:val="20"/>
                <w:szCs w:val="20"/>
                <w14:textFill>
                  <w14:solidFill>
                    <w14:schemeClr w14:val="bg1"/>
                  </w14:solidFill>
                </w14:textFill>
              </w:rPr>
            </w:pPr>
          </w:p>
        </w:tc>
        <w:tc>
          <w:tcPr>
            <w:tcW w:w="347" w:type="pct"/>
            <w:vMerge w:val="continue"/>
            <w:shd w:val="clear" w:color="auto" w:fill="5B9BD5" w:themeFill="accent5"/>
            <w:vAlign w:val="center"/>
          </w:tcPr>
          <w:p>
            <w:pPr>
              <w:widowControl/>
              <w:spacing w:line="240" w:lineRule="auto"/>
              <w:ind w:firstLine="0" w:firstLineChars="0"/>
              <w:jc w:val="center"/>
              <w:rPr>
                <w:rFonts w:ascii="黑体" w:hAnsi="黑体" w:eastAsia="黑体" w:cs="宋体"/>
                <w:b/>
                <w:bCs/>
                <w:color w:val="FFFFFF" w:themeColor="background1"/>
                <w:kern w:val="0"/>
                <w:sz w:val="20"/>
                <w:szCs w:val="20"/>
                <w14:textFill>
                  <w14:solidFill>
                    <w14:schemeClr w14:val="bg1"/>
                  </w14:solidFill>
                </w14:textFill>
              </w:rPr>
            </w:pPr>
          </w:p>
        </w:tc>
        <w:tc>
          <w:tcPr>
            <w:tcW w:w="1631" w:type="pct"/>
            <w:gridSpan w:val="2"/>
            <w:vMerge w:val="continue"/>
            <w:shd w:val="clear" w:color="auto" w:fill="5B9BD5" w:themeFill="accent5"/>
            <w:vAlign w:val="center"/>
          </w:tcPr>
          <w:p>
            <w:pPr>
              <w:widowControl/>
              <w:spacing w:line="240" w:lineRule="auto"/>
              <w:ind w:firstLine="0" w:firstLineChars="0"/>
              <w:jc w:val="center"/>
              <w:rPr>
                <w:rFonts w:ascii="黑体" w:hAnsi="黑体" w:eastAsia="黑体" w:cs="宋体"/>
                <w:b/>
                <w:bCs/>
                <w:color w:val="FFFFFF" w:themeColor="background1"/>
                <w:kern w:val="0"/>
                <w:sz w:val="20"/>
                <w:szCs w:val="20"/>
                <w14:textFill>
                  <w14:solidFill>
                    <w14:schemeClr w14:val="bg1"/>
                  </w14:solidFill>
                </w14:textFill>
              </w:rPr>
            </w:pPr>
          </w:p>
        </w:tc>
        <w:tc>
          <w:tcPr>
            <w:tcW w:w="668" w:type="pct"/>
            <w:gridSpan w:val="2"/>
            <w:shd w:val="clear" w:color="auto" w:fill="5B9BD5" w:themeFill="accent5"/>
            <w:vAlign w:val="center"/>
          </w:tcPr>
          <w:p>
            <w:pPr>
              <w:widowControl/>
              <w:spacing w:line="240" w:lineRule="auto"/>
              <w:ind w:firstLine="0" w:firstLineChars="0"/>
              <w:jc w:val="center"/>
              <w:rPr>
                <w:rFonts w:ascii="黑体" w:hAnsi="黑体" w:eastAsia="黑体" w:cs="宋体"/>
                <w:b/>
                <w:bCs/>
                <w:color w:val="FFFFFF" w:themeColor="background1"/>
                <w:kern w:val="0"/>
                <w:sz w:val="20"/>
                <w:szCs w:val="20"/>
                <w14:textFill>
                  <w14:solidFill>
                    <w14:schemeClr w14:val="bg1"/>
                  </w14:solidFill>
                </w14:textFill>
              </w:rPr>
            </w:pPr>
            <w:r>
              <w:rPr>
                <w:rFonts w:hint="eastAsia" w:ascii="黑体" w:hAnsi="黑体" w:eastAsia="黑体" w:cs="宋体"/>
                <w:b/>
                <w:bCs/>
                <w:color w:val="FFFFFF" w:themeColor="background1"/>
                <w:kern w:val="0"/>
                <w:sz w:val="20"/>
                <w:szCs w:val="20"/>
                <w14:textFill>
                  <w14:solidFill>
                    <w14:schemeClr w14:val="bg1"/>
                  </w14:solidFill>
                </w14:textFill>
              </w:rPr>
              <w:t>2</w:t>
            </w:r>
            <w:r>
              <w:rPr>
                <w:rFonts w:ascii="黑体" w:hAnsi="黑体" w:eastAsia="黑体" w:cs="宋体"/>
                <w:b/>
                <w:bCs/>
                <w:color w:val="FFFFFF" w:themeColor="background1"/>
                <w:kern w:val="0"/>
                <w:sz w:val="20"/>
                <w:szCs w:val="20"/>
                <w14:textFill>
                  <w14:solidFill>
                    <w14:schemeClr w14:val="bg1"/>
                  </w14:solidFill>
                </w14:textFill>
              </w:rPr>
              <w:t>025</w:t>
            </w:r>
            <w:r>
              <w:rPr>
                <w:rFonts w:hint="eastAsia" w:ascii="黑体" w:hAnsi="黑体" w:eastAsia="黑体" w:cs="宋体"/>
                <w:b/>
                <w:bCs/>
                <w:color w:val="FFFFFF" w:themeColor="background1"/>
                <w:kern w:val="0"/>
                <w:sz w:val="20"/>
                <w:szCs w:val="20"/>
                <w14:textFill>
                  <w14:solidFill>
                    <w14:schemeClr w14:val="bg1"/>
                  </w14:solidFill>
                </w14:textFill>
              </w:rPr>
              <w:t>年</w:t>
            </w:r>
          </w:p>
        </w:tc>
        <w:tc>
          <w:tcPr>
            <w:tcW w:w="668" w:type="pct"/>
            <w:gridSpan w:val="2"/>
            <w:shd w:val="clear" w:color="auto" w:fill="5B9BD5" w:themeFill="accent5"/>
            <w:vAlign w:val="center"/>
          </w:tcPr>
          <w:p>
            <w:pPr>
              <w:widowControl/>
              <w:spacing w:line="240" w:lineRule="auto"/>
              <w:ind w:firstLine="0" w:firstLineChars="0"/>
              <w:jc w:val="center"/>
              <w:rPr>
                <w:rFonts w:ascii="黑体" w:hAnsi="黑体" w:eastAsia="黑体" w:cs="宋体"/>
                <w:b/>
                <w:bCs/>
                <w:color w:val="FFFFFF" w:themeColor="background1"/>
                <w:kern w:val="0"/>
                <w:sz w:val="20"/>
                <w:szCs w:val="20"/>
                <w14:textFill>
                  <w14:solidFill>
                    <w14:schemeClr w14:val="bg1"/>
                  </w14:solidFill>
                </w14:textFill>
              </w:rPr>
            </w:pPr>
            <w:r>
              <w:rPr>
                <w:rFonts w:hint="eastAsia" w:ascii="黑体" w:hAnsi="黑体" w:eastAsia="黑体" w:cs="宋体"/>
                <w:b/>
                <w:bCs/>
                <w:color w:val="FFFFFF" w:themeColor="background1"/>
                <w:kern w:val="0"/>
                <w:sz w:val="20"/>
                <w:szCs w:val="20"/>
                <w14:textFill>
                  <w14:solidFill>
                    <w14:schemeClr w14:val="bg1"/>
                  </w14:solidFill>
                </w14:textFill>
              </w:rPr>
              <w:t>2</w:t>
            </w:r>
            <w:r>
              <w:rPr>
                <w:rFonts w:ascii="黑体" w:hAnsi="黑体" w:eastAsia="黑体" w:cs="宋体"/>
                <w:b/>
                <w:bCs/>
                <w:color w:val="FFFFFF" w:themeColor="background1"/>
                <w:kern w:val="0"/>
                <w:sz w:val="20"/>
                <w:szCs w:val="20"/>
                <w14:textFill>
                  <w14:solidFill>
                    <w14:schemeClr w14:val="bg1"/>
                  </w14:solidFill>
                </w14:textFill>
              </w:rPr>
              <w:t>030</w:t>
            </w:r>
            <w:r>
              <w:rPr>
                <w:rFonts w:hint="eastAsia" w:ascii="黑体" w:hAnsi="黑体" w:eastAsia="黑体" w:cs="宋体"/>
                <w:b/>
                <w:bCs/>
                <w:color w:val="FFFFFF" w:themeColor="background1"/>
                <w:kern w:val="0"/>
                <w:sz w:val="20"/>
                <w:szCs w:val="20"/>
                <w14:textFill>
                  <w14:solidFill>
                    <w14:schemeClr w14:val="bg1"/>
                  </w14:solidFill>
                </w14:textFill>
              </w:rPr>
              <w:t>年</w:t>
            </w:r>
          </w:p>
        </w:tc>
        <w:tc>
          <w:tcPr>
            <w:tcW w:w="668" w:type="pct"/>
            <w:gridSpan w:val="2"/>
            <w:shd w:val="clear" w:color="auto" w:fill="5B9BD5" w:themeFill="accent5"/>
            <w:vAlign w:val="center"/>
          </w:tcPr>
          <w:p>
            <w:pPr>
              <w:widowControl/>
              <w:spacing w:line="240" w:lineRule="auto"/>
              <w:ind w:firstLine="0" w:firstLineChars="0"/>
              <w:jc w:val="center"/>
              <w:rPr>
                <w:rFonts w:ascii="黑体" w:hAnsi="黑体" w:eastAsia="黑体" w:cs="宋体"/>
                <w:b/>
                <w:bCs/>
                <w:color w:val="FFFFFF" w:themeColor="background1"/>
                <w:kern w:val="0"/>
                <w:sz w:val="20"/>
                <w:szCs w:val="20"/>
                <w14:textFill>
                  <w14:solidFill>
                    <w14:schemeClr w14:val="bg1"/>
                  </w14:solidFill>
                </w14:textFill>
              </w:rPr>
            </w:pPr>
            <w:r>
              <w:rPr>
                <w:rFonts w:hint="eastAsia" w:ascii="黑体" w:hAnsi="黑体" w:eastAsia="黑体" w:cs="宋体"/>
                <w:b/>
                <w:bCs/>
                <w:color w:val="FFFFFF" w:themeColor="background1"/>
                <w:kern w:val="0"/>
                <w:sz w:val="20"/>
                <w:szCs w:val="20"/>
                <w14:textFill>
                  <w14:solidFill>
                    <w14:schemeClr w14:val="bg1"/>
                  </w14:solidFill>
                </w14:textFill>
              </w:rPr>
              <w:t>2</w:t>
            </w:r>
            <w:r>
              <w:rPr>
                <w:rFonts w:ascii="黑体" w:hAnsi="黑体" w:eastAsia="黑体" w:cs="宋体"/>
                <w:b/>
                <w:bCs/>
                <w:color w:val="FFFFFF" w:themeColor="background1"/>
                <w:kern w:val="0"/>
                <w:sz w:val="20"/>
                <w:szCs w:val="20"/>
                <w14:textFill>
                  <w14:solidFill>
                    <w14:schemeClr w14:val="bg1"/>
                  </w14:solidFill>
                </w14:textFill>
              </w:rPr>
              <w:t>025</w:t>
            </w:r>
            <w:r>
              <w:rPr>
                <w:rFonts w:hint="eastAsia" w:ascii="黑体" w:hAnsi="黑体" w:eastAsia="黑体" w:cs="宋体"/>
                <w:b/>
                <w:bCs/>
                <w:color w:val="FFFFFF" w:themeColor="background1"/>
                <w:kern w:val="0"/>
                <w:sz w:val="20"/>
                <w:szCs w:val="20"/>
                <w14:textFill>
                  <w14:solidFill>
                    <w14:schemeClr w14:val="bg1"/>
                  </w14:solidFill>
                </w14:textFill>
              </w:rPr>
              <w:t>年</w:t>
            </w:r>
          </w:p>
        </w:tc>
        <w:tc>
          <w:tcPr>
            <w:tcW w:w="667" w:type="pct"/>
            <w:shd w:val="clear" w:color="auto" w:fill="5B9BD5" w:themeFill="accent5"/>
            <w:vAlign w:val="center"/>
          </w:tcPr>
          <w:p>
            <w:pPr>
              <w:widowControl/>
              <w:spacing w:line="240" w:lineRule="auto"/>
              <w:ind w:firstLine="0" w:firstLineChars="0"/>
              <w:jc w:val="center"/>
              <w:rPr>
                <w:rFonts w:ascii="黑体" w:hAnsi="黑体" w:eastAsia="黑体" w:cs="宋体"/>
                <w:b/>
                <w:bCs/>
                <w:color w:val="FFFFFF" w:themeColor="background1"/>
                <w:kern w:val="0"/>
                <w:sz w:val="20"/>
                <w:szCs w:val="20"/>
                <w14:textFill>
                  <w14:solidFill>
                    <w14:schemeClr w14:val="bg1"/>
                  </w14:solidFill>
                </w14:textFill>
              </w:rPr>
            </w:pPr>
            <w:r>
              <w:rPr>
                <w:rFonts w:hint="eastAsia" w:ascii="黑体" w:hAnsi="黑体" w:eastAsia="黑体" w:cs="宋体"/>
                <w:b/>
                <w:bCs/>
                <w:color w:val="FFFFFF" w:themeColor="background1"/>
                <w:kern w:val="0"/>
                <w:sz w:val="20"/>
                <w:szCs w:val="20"/>
                <w14:textFill>
                  <w14:solidFill>
                    <w14:schemeClr w14:val="bg1"/>
                  </w14:solidFill>
                </w14:textFill>
              </w:rPr>
              <w:t>2</w:t>
            </w:r>
            <w:r>
              <w:rPr>
                <w:rFonts w:ascii="黑体" w:hAnsi="黑体" w:eastAsia="黑体" w:cs="宋体"/>
                <w:b/>
                <w:bCs/>
                <w:color w:val="FFFFFF" w:themeColor="background1"/>
                <w:kern w:val="0"/>
                <w:sz w:val="20"/>
                <w:szCs w:val="20"/>
                <w14:textFill>
                  <w14:solidFill>
                    <w14:schemeClr w14:val="bg1"/>
                  </w14:solidFill>
                </w14:textFill>
              </w:rPr>
              <w:t>030</w:t>
            </w:r>
            <w:r>
              <w:rPr>
                <w:rFonts w:hint="eastAsia" w:ascii="黑体" w:hAnsi="黑体" w:eastAsia="黑体" w:cs="宋体"/>
                <w:b/>
                <w:bCs/>
                <w:color w:val="FFFFFF" w:themeColor="background1"/>
                <w:kern w:val="0"/>
                <w:sz w:val="20"/>
                <w:szCs w:val="20"/>
                <w14:textFill>
                  <w14:solidFill>
                    <w14:schemeClr w14:val="bg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9" w:hRule="atLeast"/>
        </w:trPr>
        <w:tc>
          <w:tcPr>
            <w:tcW w:w="351" w:type="pct"/>
            <w:vMerge w:val="restar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产业</w:t>
            </w:r>
          </w:p>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规模</w:t>
            </w: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w:t>
            </w:r>
          </w:p>
        </w:tc>
        <w:tc>
          <w:tcPr>
            <w:tcW w:w="475"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电芯及P</w:t>
            </w:r>
            <w:r>
              <w:rPr>
                <w:rFonts w:ascii="黑体" w:hAnsi="黑体" w:eastAsia="黑体"/>
                <w:sz w:val="20"/>
                <w:szCs w:val="20"/>
              </w:rPr>
              <w:t>ACK</w:t>
            </w:r>
          </w:p>
        </w:tc>
        <w:tc>
          <w:tcPr>
            <w:tcW w:w="1156"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新能源电池产能</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120GWh</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250GWh</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780</w:t>
            </w:r>
          </w:p>
        </w:tc>
        <w:tc>
          <w:tcPr>
            <w:tcW w:w="66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9"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w:t>
            </w:r>
          </w:p>
        </w:tc>
        <w:tc>
          <w:tcPr>
            <w:tcW w:w="475" w:type="pct"/>
            <w:vMerge w:val="restar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正极及其材料</w:t>
            </w:r>
          </w:p>
        </w:tc>
        <w:tc>
          <w:tcPr>
            <w:tcW w:w="1156"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正极材料（三元）</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60万吨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80万吨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1000</w:t>
            </w:r>
          </w:p>
        </w:tc>
        <w:tc>
          <w:tcPr>
            <w:tcW w:w="66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3</w:t>
            </w:r>
          </w:p>
        </w:tc>
        <w:tc>
          <w:tcPr>
            <w:tcW w:w="475" w:type="pct"/>
            <w:vMerge w:val="continue"/>
            <w:vAlign w:val="center"/>
          </w:tcPr>
          <w:p>
            <w:pPr>
              <w:spacing w:line="240" w:lineRule="auto"/>
              <w:ind w:firstLine="0" w:firstLineChars="0"/>
              <w:jc w:val="center"/>
              <w:rPr>
                <w:rFonts w:ascii="黑体" w:hAnsi="黑体" w:eastAsia="黑体"/>
                <w:sz w:val="20"/>
                <w:szCs w:val="20"/>
              </w:rPr>
            </w:pPr>
          </w:p>
        </w:tc>
        <w:tc>
          <w:tcPr>
            <w:tcW w:w="1156"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正极材料（L</w:t>
            </w:r>
            <w:r>
              <w:rPr>
                <w:rFonts w:ascii="黑体" w:hAnsi="黑体" w:eastAsia="黑体"/>
                <w:sz w:val="20"/>
                <w:szCs w:val="20"/>
              </w:rPr>
              <w:t>FP</w:t>
            </w:r>
            <w:r>
              <w:rPr>
                <w:rFonts w:hint="eastAsia" w:ascii="黑体" w:hAnsi="黑体" w:eastAsia="黑体"/>
                <w:sz w:val="20"/>
                <w:szCs w:val="20"/>
              </w:rPr>
              <w:t>）</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125万吨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230万吨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600</w:t>
            </w:r>
          </w:p>
        </w:tc>
        <w:tc>
          <w:tcPr>
            <w:tcW w:w="66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4</w:t>
            </w:r>
          </w:p>
        </w:tc>
        <w:tc>
          <w:tcPr>
            <w:tcW w:w="475" w:type="pct"/>
            <w:vMerge w:val="continue"/>
            <w:vAlign w:val="center"/>
          </w:tcPr>
          <w:p>
            <w:pPr>
              <w:spacing w:line="240" w:lineRule="auto"/>
              <w:ind w:firstLine="0" w:firstLineChars="0"/>
              <w:jc w:val="center"/>
              <w:rPr>
                <w:rFonts w:ascii="黑体" w:hAnsi="黑体" w:eastAsia="黑体"/>
                <w:sz w:val="20"/>
                <w:szCs w:val="20"/>
              </w:rPr>
            </w:pPr>
          </w:p>
        </w:tc>
        <w:tc>
          <w:tcPr>
            <w:tcW w:w="1156"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三元前驱体</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30万吨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60万吨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240</w:t>
            </w:r>
          </w:p>
        </w:tc>
        <w:tc>
          <w:tcPr>
            <w:tcW w:w="66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5</w:t>
            </w:r>
          </w:p>
        </w:tc>
        <w:tc>
          <w:tcPr>
            <w:tcW w:w="475" w:type="pct"/>
            <w:vMerge w:val="continue"/>
            <w:vAlign w:val="center"/>
          </w:tcPr>
          <w:p>
            <w:pPr>
              <w:spacing w:line="240" w:lineRule="auto"/>
              <w:ind w:firstLine="0" w:firstLineChars="0"/>
              <w:jc w:val="center"/>
              <w:rPr>
                <w:rFonts w:ascii="黑体" w:hAnsi="黑体" w:eastAsia="黑体"/>
                <w:sz w:val="20"/>
                <w:szCs w:val="20"/>
              </w:rPr>
            </w:pPr>
          </w:p>
        </w:tc>
        <w:tc>
          <w:tcPr>
            <w:tcW w:w="1156"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磷酸铁</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350万吨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520万吨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500</w:t>
            </w:r>
          </w:p>
        </w:tc>
        <w:tc>
          <w:tcPr>
            <w:tcW w:w="66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9"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6</w:t>
            </w:r>
          </w:p>
        </w:tc>
        <w:tc>
          <w:tcPr>
            <w:tcW w:w="475" w:type="pct"/>
            <w:vMerge w:val="continue"/>
            <w:vAlign w:val="center"/>
          </w:tcPr>
          <w:p>
            <w:pPr>
              <w:spacing w:line="240" w:lineRule="auto"/>
              <w:ind w:firstLine="0" w:firstLineChars="0"/>
              <w:jc w:val="center"/>
              <w:rPr>
                <w:rFonts w:ascii="黑体" w:hAnsi="黑体" w:eastAsia="黑体"/>
                <w:sz w:val="20"/>
                <w:szCs w:val="20"/>
              </w:rPr>
            </w:pPr>
          </w:p>
        </w:tc>
        <w:tc>
          <w:tcPr>
            <w:tcW w:w="1156"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新型电池正极材料</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20万吨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60万吨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400</w:t>
            </w:r>
          </w:p>
        </w:tc>
        <w:tc>
          <w:tcPr>
            <w:tcW w:w="66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7</w:t>
            </w:r>
          </w:p>
        </w:tc>
        <w:tc>
          <w:tcPr>
            <w:tcW w:w="475" w:type="pct"/>
            <w:vMerge w:val="continue"/>
            <w:vAlign w:val="center"/>
          </w:tcPr>
          <w:p>
            <w:pPr>
              <w:spacing w:line="240" w:lineRule="auto"/>
              <w:ind w:firstLine="0" w:firstLineChars="0"/>
              <w:jc w:val="center"/>
              <w:rPr>
                <w:rFonts w:ascii="黑体" w:hAnsi="黑体" w:eastAsia="黑体"/>
                <w:sz w:val="20"/>
                <w:szCs w:val="20"/>
              </w:rPr>
            </w:pPr>
          </w:p>
        </w:tc>
        <w:tc>
          <w:tcPr>
            <w:tcW w:w="1156"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正极上游其他材料</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260</w:t>
            </w:r>
          </w:p>
        </w:tc>
        <w:tc>
          <w:tcPr>
            <w:tcW w:w="66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8</w:t>
            </w:r>
          </w:p>
        </w:tc>
        <w:tc>
          <w:tcPr>
            <w:tcW w:w="475" w:type="pct"/>
            <w:vMerge w:val="restar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负极材料</w:t>
            </w:r>
          </w:p>
        </w:tc>
        <w:tc>
          <w:tcPr>
            <w:tcW w:w="1156"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石墨负极材料</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70万吨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120万吨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300</w:t>
            </w:r>
          </w:p>
        </w:tc>
        <w:tc>
          <w:tcPr>
            <w:tcW w:w="66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9</w:t>
            </w:r>
          </w:p>
        </w:tc>
        <w:tc>
          <w:tcPr>
            <w:tcW w:w="475" w:type="pct"/>
            <w:vMerge w:val="continue"/>
            <w:vAlign w:val="center"/>
          </w:tcPr>
          <w:p>
            <w:pPr>
              <w:spacing w:line="240" w:lineRule="auto"/>
              <w:ind w:firstLine="0" w:firstLineChars="0"/>
              <w:jc w:val="center"/>
              <w:rPr>
                <w:rFonts w:ascii="黑体" w:hAnsi="黑体" w:eastAsia="黑体"/>
                <w:sz w:val="20"/>
                <w:szCs w:val="20"/>
              </w:rPr>
            </w:pPr>
          </w:p>
        </w:tc>
        <w:tc>
          <w:tcPr>
            <w:tcW w:w="1156"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新型负极材料</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3万吨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15万吨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40</w:t>
            </w:r>
          </w:p>
        </w:tc>
        <w:tc>
          <w:tcPr>
            <w:tcW w:w="66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w:t>
            </w:r>
            <w:r>
              <w:rPr>
                <w:rFonts w:ascii="黑体" w:hAnsi="黑体" w:eastAsia="黑体"/>
                <w:sz w:val="20"/>
                <w:szCs w:val="20"/>
              </w:rPr>
              <w:t>0</w:t>
            </w:r>
          </w:p>
        </w:tc>
        <w:tc>
          <w:tcPr>
            <w:tcW w:w="475"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隔膜</w:t>
            </w:r>
          </w:p>
        </w:tc>
        <w:tc>
          <w:tcPr>
            <w:tcW w:w="1156"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基膜/涂敷</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15亿平</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40亿平</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20</w:t>
            </w:r>
          </w:p>
        </w:tc>
        <w:tc>
          <w:tcPr>
            <w:tcW w:w="66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w:t>
            </w:r>
            <w:r>
              <w:rPr>
                <w:rFonts w:ascii="黑体" w:hAnsi="黑体" w:eastAsia="黑体"/>
                <w:sz w:val="20"/>
                <w:szCs w:val="20"/>
              </w:rPr>
              <w:t>1</w:t>
            </w:r>
          </w:p>
        </w:tc>
        <w:tc>
          <w:tcPr>
            <w:tcW w:w="475" w:type="pct"/>
            <w:vMerge w:val="restar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电解液及材料</w:t>
            </w:r>
          </w:p>
        </w:tc>
        <w:tc>
          <w:tcPr>
            <w:tcW w:w="1156"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电解液</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35万吨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50万吨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280</w:t>
            </w:r>
          </w:p>
        </w:tc>
        <w:tc>
          <w:tcPr>
            <w:tcW w:w="66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9"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w:t>
            </w:r>
            <w:r>
              <w:rPr>
                <w:rFonts w:ascii="黑体" w:hAnsi="黑体" w:eastAsia="黑体"/>
                <w:sz w:val="20"/>
                <w:szCs w:val="20"/>
              </w:rPr>
              <w:t>2</w:t>
            </w:r>
          </w:p>
        </w:tc>
        <w:tc>
          <w:tcPr>
            <w:tcW w:w="475" w:type="pct"/>
            <w:vMerge w:val="continue"/>
            <w:vAlign w:val="center"/>
          </w:tcPr>
          <w:p>
            <w:pPr>
              <w:spacing w:line="240" w:lineRule="auto"/>
              <w:ind w:firstLine="0" w:firstLineChars="0"/>
              <w:jc w:val="center"/>
              <w:rPr>
                <w:rFonts w:ascii="黑体" w:hAnsi="黑体" w:eastAsia="黑体"/>
                <w:sz w:val="20"/>
                <w:szCs w:val="20"/>
              </w:rPr>
            </w:pPr>
          </w:p>
        </w:tc>
        <w:tc>
          <w:tcPr>
            <w:tcW w:w="1156"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锂盐（六氟磷酸锂/</w:t>
            </w:r>
            <w:r>
              <w:rPr>
                <w:rFonts w:ascii="黑体" w:hAnsi="黑体" w:eastAsia="黑体"/>
                <w:sz w:val="20"/>
                <w:szCs w:val="20"/>
              </w:rPr>
              <w:t>L</w:t>
            </w:r>
            <w:r>
              <w:rPr>
                <w:rFonts w:hint="eastAsia" w:ascii="黑体" w:hAnsi="黑体" w:eastAsia="黑体"/>
                <w:sz w:val="20"/>
                <w:szCs w:val="20"/>
              </w:rPr>
              <w:t>i</w:t>
            </w:r>
            <w:r>
              <w:rPr>
                <w:rFonts w:ascii="黑体" w:hAnsi="黑体" w:eastAsia="黑体"/>
                <w:sz w:val="20"/>
                <w:szCs w:val="20"/>
              </w:rPr>
              <w:t>FSI</w:t>
            </w:r>
            <w:r>
              <w:rPr>
                <w:rFonts w:hint="eastAsia" w:ascii="黑体" w:hAnsi="黑体" w:eastAsia="黑体"/>
                <w:sz w:val="20"/>
                <w:szCs w:val="20"/>
              </w:rPr>
              <w:t>等）</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5万吨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20万吨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120</w:t>
            </w:r>
          </w:p>
        </w:tc>
        <w:tc>
          <w:tcPr>
            <w:tcW w:w="66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w:t>
            </w:r>
            <w:r>
              <w:rPr>
                <w:rFonts w:ascii="黑体" w:hAnsi="黑体" w:eastAsia="黑体"/>
                <w:sz w:val="20"/>
                <w:szCs w:val="20"/>
              </w:rPr>
              <w:t>3</w:t>
            </w:r>
          </w:p>
        </w:tc>
        <w:tc>
          <w:tcPr>
            <w:tcW w:w="475" w:type="pct"/>
            <w:vMerge w:val="continue"/>
            <w:vAlign w:val="center"/>
          </w:tcPr>
          <w:p>
            <w:pPr>
              <w:spacing w:line="240" w:lineRule="auto"/>
              <w:ind w:firstLine="0" w:firstLineChars="0"/>
              <w:jc w:val="center"/>
              <w:rPr>
                <w:rFonts w:ascii="黑体" w:hAnsi="黑体" w:eastAsia="黑体"/>
                <w:sz w:val="20"/>
                <w:szCs w:val="20"/>
              </w:rPr>
            </w:pPr>
          </w:p>
        </w:tc>
        <w:tc>
          <w:tcPr>
            <w:tcW w:w="1156"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添加剂</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6万吨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50</w:t>
            </w:r>
          </w:p>
        </w:tc>
        <w:tc>
          <w:tcPr>
            <w:tcW w:w="66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w:t>
            </w:r>
            <w:r>
              <w:rPr>
                <w:rFonts w:ascii="黑体" w:hAnsi="黑体" w:eastAsia="黑体"/>
                <w:sz w:val="20"/>
                <w:szCs w:val="20"/>
              </w:rPr>
              <w:t>4</w:t>
            </w:r>
          </w:p>
        </w:tc>
        <w:tc>
          <w:tcPr>
            <w:tcW w:w="475" w:type="pct"/>
            <w:vMerge w:val="continue"/>
            <w:vAlign w:val="center"/>
          </w:tcPr>
          <w:p>
            <w:pPr>
              <w:spacing w:line="240" w:lineRule="auto"/>
              <w:ind w:firstLine="0" w:firstLineChars="0"/>
              <w:jc w:val="center"/>
              <w:rPr>
                <w:rFonts w:ascii="黑体" w:hAnsi="黑体" w:eastAsia="黑体"/>
                <w:sz w:val="20"/>
                <w:szCs w:val="20"/>
              </w:rPr>
            </w:pPr>
          </w:p>
        </w:tc>
        <w:tc>
          <w:tcPr>
            <w:tcW w:w="1156"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电解液其他材料</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20</w:t>
            </w:r>
          </w:p>
        </w:tc>
        <w:tc>
          <w:tcPr>
            <w:tcW w:w="66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w:t>
            </w:r>
            <w:r>
              <w:rPr>
                <w:rFonts w:ascii="黑体" w:hAnsi="黑体" w:eastAsia="黑体"/>
                <w:sz w:val="20"/>
                <w:szCs w:val="20"/>
              </w:rPr>
              <w:t>5</w:t>
            </w:r>
          </w:p>
        </w:tc>
        <w:tc>
          <w:tcPr>
            <w:tcW w:w="475"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铜箔</w:t>
            </w:r>
          </w:p>
        </w:tc>
        <w:tc>
          <w:tcPr>
            <w:tcW w:w="1156"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锂电铜箔</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10万吨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10</w:t>
            </w:r>
          </w:p>
        </w:tc>
        <w:tc>
          <w:tcPr>
            <w:tcW w:w="66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w:t>
            </w:r>
            <w:r>
              <w:rPr>
                <w:rFonts w:ascii="黑体" w:hAnsi="黑体" w:eastAsia="黑体"/>
                <w:sz w:val="20"/>
                <w:szCs w:val="20"/>
              </w:rPr>
              <w:t>6</w:t>
            </w:r>
          </w:p>
        </w:tc>
        <w:tc>
          <w:tcPr>
            <w:tcW w:w="475"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铝箔</w:t>
            </w:r>
          </w:p>
        </w:tc>
        <w:tc>
          <w:tcPr>
            <w:tcW w:w="1156"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电池铝箔</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8万吨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15万吨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50</w:t>
            </w:r>
          </w:p>
        </w:tc>
        <w:tc>
          <w:tcPr>
            <w:tcW w:w="66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w:t>
            </w:r>
            <w:r>
              <w:rPr>
                <w:rFonts w:ascii="黑体" w:hAnsi="黑体" w:eastAsia="黑体"/>
                <w:sz w:val="20"/>
                <w:szCs w:val="20"/>
              </w:rPr>
              <w:t>7</w:t>
            </w:r>
          </w:p>
        </w:tc>
        <w:tc>
          <w:tcPr>
            <w:tcW w:w="1631"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电池回收</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w:t>
            </w:r>
            <w:r>
              <w:rPr>
                <w:rFonts w:ascii="黑体" w:hAnsi="黑体" w:eastAsia="黑体"/>
                <w:sz w:val="20"/>
                <w:szCs w:val="20"/>
              </w:rPr>
              <w:t>0</w:t>
            </w:r>
            <w:r>
              <w:rPr>
                <w:rFonts w:hint="eastAsia" w:ascii="黑体" w:hAnsi="黑体" w:eastAsia="黑体"/>
                <w:sz w:val="20"/>
                <w:szCs w:val="20"/>
              </w:rPr>
              <w:t>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40万吨</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80万吨</w:t>
            </w:r>
          </w:p>
        </w:tc>
        <w:tc>
          <w:tcPr>
            <w:tcW w:w="66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9"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w:t>
            </w:r>
            <w:r>
              <w:rPr>
                <w:rFonts w:ascii="黑体" w:hAnsi="黑体" w:eastAsia="黑体"/>
                <w:sz w:val="20"/>
                <w:szCs w:val="20"/>
              </w:rPr>
              <w:t>8</w:t>
            </w:r>
          </w:p>
        </w:tc>
        <w:tc>
          <w:tcPr>
            <w:tcW w:w="475"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其他</w:t>
            </w:r>
          </w:p>
        </w:tc>
        <w:tc>
          <w:tcPr>
            <w:tcW w:w="1156"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导电剂、碳酸锂、磷酸、硫酸锰等辅材；电池结构件；锂电设备等</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w:t>
            </w:r>
          </w:p>
        </w:tc>
        <w:tc>
          <w:tcPr>
            <w:tcW w:w="668"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120</w:t>
            </w:r>
          </w:p>
        </w:tc>
        <w:tc>
          <w:tcPr>
            <w:tcW w:w="66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2329" w:type="pct"/>
            <w:gridSpan w:val="4"/>
            <w:shd w:val="clear" w:color="auto" w:fill="BDD6EE" w:themeFill="accent5" w:themeFillTint="66"/>
            <w:vAlign w:val="center"/>
          </w:tcPr>
          <w:p>
            <w:pPr>
              <w:spacing w:line="240" w:lineRule="auto"/>
              <w:ind w:firstLine="0" w:firstLineChars="0"/>
              <w:jc w:val="center"/>
              <w:rPr>
                <w:rFonts w:ascii="黑体" w:hAnsi="黑体" w:eastAsia="黑体"/>
                <w:b/>
                <w:bCs/>
                <w:sz w:val="20"/>
                <w:szCs w:val="20"/>
              </w:rPr>
            </w:pPr>
            <w:r>
              <w:rPr>
                <w:rFonts w:hint="eastAsia" w:ascii="黑体" w:hAnsi="黑体" w:eastAsia="黑体"/>
                <w:b/>
                <w:bCs/>
                <w:sz w:val="20"/>
                <w:szCs w:val="20"/>
              </w:rPr>
              <w:t>合计</w:t>
            </w:r>
          </w:p>
        </w:tc>
        <w:tc>
          <w:tcPr>
            <w:tcW w:w="366" w:type="pct"/>
            <w:shd w:val="clear" w:color="auto" w:fill="BDD6EE" w:themeFill="accent5" w:themeFillTint="66"/>
            <w:vAlign w:val="center"/>
          </w:tcPr>
          <w:p>
            <w:pPr>
              <w:spacing w:line="240" w:lineRule="auto"/>
              <w:ind w:firstLine="0" w:firstLineChars="0"/>
              <w:jc w:val="center"/>
              <w:rPr>
                <w:rFonts w:ascii="黑体" w:hAnsi="黑体" w:eastAsia="黑体"/>
                <w:b/>
                <w:bCs/>
                <w:sz w:val="20"/>
                <w:szCs w:val="20"/>
              </w:rPr>
            </w:pPr>
            <w:r>
              <w:rPr>
                <w:rFonts w:hint="eastAsia" w:ascii="黑体" w:hAnsi="黑体" w:eastAsia="黑体"/>
                <w:b/>
                <w:bCs/>
                <w:sz w:val="20"/>
                <w:szCs w:val="20"/>
              </w:rPr>
              <w:t>-</w:t>
            </w:r>
          </w:p>
        </w:tc>
        <w:tc>
          <w:tcPr>
            <w:tcW w:w="771" w:type="pct"/>
            <w:gridSpan w:val="2"/>
            <w:shd w:val="clear" w:color="auto" w:fill="BDD6EE" w:themeFill="accent5" w:themeFillTint="66"/>
            <w:vAlign w:val="center"/>
          </w:tcPr>
          <w:p>
            <w:pPr>
              <w:spacing w:line="240" w:lineRule="auto"/>
              <w:ind w:firstLine="0" w:firstLineChars="0"/>
              <w:jc w:val="center"/>
              <w:rPr>
                <w:rFonts w:ascii="黑体" w:hAnsi="黑体" w:eastAsia="黑体"/>
                <w:b/>
                <w:bCs/>
                <w:sz w:val="20"/>
                <w:szCs w:val="20"/>
              </w:rPr>
            </w:pPr>
            <w:r>
              <w:rPr>
                <w:rFonts w:hint="eastAsia" w:ascii="黑体" w:hAnsi="黑体" w:eastAsia="黑体"/>
                <w:b/>
                <w:bCs/>
                <w:sz w:val="20"/>
                <w:szCs w:val="20"/>
              </w:rPr>
              <w:t>-</w:t>
            </w:r>
          </w:p>
        </w:tc>
        <w:tc>
          <w:tcPr>
            <w:tcW w:w="770" w:type="pct"/>
            <w:gridSpan w:val="2"/>
            <w:shd w:val="clear" w:color="auto" w:fill="BDD6EE" w:themeFill="accent5" w:themeFillTint="66"/>
            <w:vAlign w:val="center"/>
          </w:tcPr>
          <w:p>
            <w:pPr>
              <w:spacing w:line="240" w:lineRule="auto"/>
              <w:ind w:firstLine="0" w:firstLineChars="0"/>
              <w:jc w:val="center"/>
              <w:rPr>
                <w:rFonts w:ascii="黑体" w:hAnsi="黑体" w:eastAsia="黑体"/>
                <w:b/>
                <w:bCs/>
                <w:sz w:val="20"/>
                <w:szCs w:val="20"/>
              </w:rPr>
            </w:pPr>
            <w:r>
              <w:rPr>
                <w:rFonts w:ascii="黑体" w:hAnsi="黑体" w:eastAsia="黑体"/>
                <w:b/>
                <w:bCs/>
                <w:sz w:val="20"/>
                <w:szCs w:val="20"/>
              </w:rPr>
              <w:t>5000</w:t>
            </w:r>
          </w:p>
        </w:tc>
        <w:tc>
          <w:tcPr>
            <w:tcW w:w="764" w:type="pct"/>
            <w:gridSpan w:val="2"/>
            <w:shd w:val="clear" w:color="auto" w:fill="BDD6EE" w:themeFill="accent5" w:themeFillTint="66"/>
            <w:vAlign w:val="center"/>
          </w:tcPr>
          <w:p>
            <w:pPr>
              <w:spacing w:line="240" w:lineRule="auto"/>
              <w:ind w:firstLine="0" w:firstLineChars="0"/>
              <w:jc w:val="center"/>
              <w:rPr>
                <w:rFonts w:ascii="黑体" w:hAnsi="黑体" w:eastAsia="黑体"/>
                <w:b/>
                <w:bCs/>
                <w:sz w:val="20"/>
                <w:szCs w:val="20"/>
              </w:rPr>
            </w:pPr>
            <w:r>
              <w:rPr>
                <w:rFonts w:ascii="黑体" w:hAnsi="黑体" w:eastAsia="黑体"/>
                <w:b/>
                <w:bCs/>
                <w:sz w:val="20"/>
                <w:szCs w:val="2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restar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产业</w:t>
            </w:r>
          </w:p>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结构</w:t>
            </w: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w:t>
            </w:r>
            <w:r>
              <w:rPr>
                <w:rFonts w:ascii="黑体" w:hAnsi="黑体" w:eastAsia="黑体"/>
                <w:sz w:val="20"/>
                <w:szCs w:val="20"/>
              </w:rPr>
              <w:t>9</w:t>
            </w:r>
          </w:p>
        </w:tc>
        <w:tc>
          <w:tcPr>
            <w:tcW w:w="2768" w:type="pct"/>
            <w:gridSpan w:val="5"/>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先进技术及高端产品比重（%）</w:t>
            </w:r>
          </w:p>
        </w:tc>
        <w:tc>
          <w:tcPr>
            <w:tcW w:w="770"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w:t>
            </w:r>
            <w:r>
              <w:rPr>
                <w:rFonts w:ascii="黑体" w:hAnsi="黑体" w:eastAsia="黑体"/>
                <w:sz w:val="20"/>
                <w:szCs w:val="20"/>
              </w:rPr>
              <w:t>0</w:t>
            </w:r>
          </w:p>
        </w:tc>
        <w:tc>
          <w:tcPr>
            <w:tcW w:w="764"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≥4</w:t>
            </w:r>
            <w:r>
              <w:rPr>
                <w:rFonts w:ascii="黑体" w:hAnsi="黑体" w:eastAsia="黑体"/>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w:t>
            </w:r>
            <w:r>
              <w:rPr>
                <w:rFonts w:ascii="黑体" w:hAnsi="黑体" w:eastAsia="黑体"/>
                <w:sz w:val="20"/>
                <w:szCs w:val="20"/>
              </w:rPr>
              <w:t>0</w:t>
            </w:r>
          </w:p>
        </w:tc>
        <w:tc>
          <w:tcPr>
            <w:tcW w:w="2768" w:type="pct"/>
            <w:gridSpan w:val="5"/>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全产业产品种类比重（%）</w:t>
            </w:r>
          </w:p>
        </w:tc>
        <w:tc>
          <w:tcPr>
            <w:tcW w:w="770"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≥5</w:t>
            </w:r>
            <w:r>
              <w:rPr>
                <w:rFonts w:ascii="黑体" w:hAnsi="黑体" w:eastAsia="黑体"/>
                <w:sz w:val="20"/>
                <w:szCs w:val="20"/>
              </w:rPr>
              <w:t>0</w:t>
            </w:r>
          </w:p>
        </w:tc>
        <w:tc>
          <w:tcPr>
            <w:tcW w:w="764"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≥7</w:t>
            </w:r>
            <w:r>
              <w:rPr>
                <w:rFonts w:ascii="黑体" w:hAnsi="黑体" w:eastAsia="黑体"/>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restar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企业</w:t>
            </w:r>
          </w:p>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发展</w:t>
            </w: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w:t>
            </w:r>
            <w:r>
              <w:rPr>
                <w:rFonts w:ascii="黑体" w:hAnsi="黑体" w:eastAsia="黑体"/>
                <w:sz w:val="20"/>
                <w:szCs w:val="20"/>
              </w:rPr>
              <w:t>1</w:t>
            </w:r>
          </w:p>
        </w:tc>
        <w:tc>
          <w:tcPr>
            <w:tcW w:w="2768" w:type="pct"/>
            <w:gridSpan w:val="5"/>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数字化转型或智能制造示范企业（家）</w:t>
            </w:r>
          </w:p>
        </w:tc>
        <w:tc>
          <w:tcPr>
            <w:tcW w:w="770"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w:t>
            </w:r>
            <w:r>
              <w:rPr>
                <w:rFonts w:ascii="黑体" w:hAnsi="黑体" w:eastAsia="黑体"/>
                <w:sz w:val="20"/>
                <w:szCs w:val="20"/>
              </w:rPr>
              <w:t>0</w:t>
            </w:r>
          </w:p>
        </w:tc>
        <w:tc>
          <w:tcPr>
            <w:tcW w:w="764"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w:t>
            </w:r>
            <w:r>
              <w:rPr>
                <w:rFonts w:ascii="黑体" w:hAnsi="黑体" w:eastAsia="黑体"/>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w:t>
            </w:r>
            <w:r>
              <w:rPr>
                <w:rFonts w:ascii="黑体" w:hAnsi="黑体" w:eastAsia="黑体"/>
                <w:sz w:val="20"/>
                <w:szCs w:val="20"/>
              </w:rPr>
              <w:t>2</w:t>
            </w:r>
          </w:p>
        </w:tc>
        <w:tc>
          <w:tcPr>
            <w:tcW w:w="2768" w:type="pct"/>
            <w:gridSpan w:val="5"/>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主营业务收入过1</w:t>
            </w:r>
            <w:r>
              <w:rPr>
                <w:rFonts w:ascii="黑体" w:hAnsi="黑体" w:eastAsia="黑体"/>
                <w:sz w:val="20"/>
                <w:szCs w:val="20"/>
              </w:rPr>
              <w:t>00</w:t>
            </w:r>
            <w:r>
              <w:rPr>
                <w:rFonts w:hint="eastAsia" w:ascii="黑体" w:hAnsi="黑体" w:eastAsia="黑体"/>
                <w:sz w:val="20"/>
                <w:szCs w:val="20"/>
              </w:rPr>
              <w:t>亿企业（家）</w:t>
            </w:r>
          </w:p>
        </w:tc>
        <w:tc>
          <w:tcPr>
            <w:tcW w:w="770"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w:t>
            </w:r>
            <w:r>
              <w:rPr>
                <w:rFonts w:ascii="黑体" w:hAnsi="黑体" w:eastAsia="黑体"/>
                <w:sz w:val="20"/>
                <w:szCs w:val="20"/>
              </w:rPr>
              <w:t>0</w:t>
            </w:r>
          </w:p>
        </w:tc>
        <w:tc>
          <w:tcPr>
            <w:tcW w:w="764"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w:t>
            </w:r>
            <w:r>
              <w:rPr>
                <w:rFonts w:ascii="黑体" w:hAnsi="黑体" w:eastAsia="黑体"/>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ascii="黑体" w:hAnsi="黑体" w:eastAsia="黑体"/>
                <w:sz w:val="20"/>
                <w:szCs w:val="20"/>
              </w:rPr>
              <w:t>23</w:t>
            </w:r>
          </w:p>
        </w:tc>
        <w:tc>
          <w:tcPr>
            <w:tcW w:w="2768" w:type="pct"/>
            <w:gridSpan w:val="5"/>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主营业务收入过5</w:t>
            </w:r>
            <w:r>
              <w:rPr>
                <w:rFonts w:ascii="黑体" w:hAnsi="黑体" w:eastAsia="黑体"/>
                <w:sz w:val="20"/>
                <w:szCs w:val="20"/>
              </w:rPr>
              <w:t>0</w:t>
            </w:r>
            <w:r>
              <w:rPr>
                <w:rFonts w:hint="eastAsia" w:ascii="黑体" w:hAnsi="黑体" w:eastAsia="黑体"/>
                <w:sz w:val="20"/>
                <w:szCs w:val="20"/>
              </w:rPr>
              <w:t>亿企业（家）</w:t>
            </w:r>
          </w:p>
        </w:tc>
        <w:tc>
          <w:tcPr>
            <w:tcW w:w="770"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w:t>
            </w:r>
            <w:r>
              <w:rPr>
                <w:rFonts w:ascii="黑体" w:hAnsi="黑体" w:eastAsia="黑体"/>
                <w:sz w:val="20"/>
                <w:szCs w:val="20"/>
              </w:rPr>
              <w:t>0</w:t>
            </w:r>
          </w:p>
        </w:tc>
        <w:tc>
          <w:tcPr>
            <w:tcW w:w="764"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≥5</w:t>
            </w:r>
            <w:r>
              <w:rPr>
                <w:rFonts w:ascii="黑体" w:hAnsi="黑体" w:eastAsia="黑体"/>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w:t>
            </w:r>
            <w:r>
              <w:rPr>
                <w:rFonts w:ascii="黑体" w:hAnsi="黑体" w:eastAsia="黑体"/>
                <w:sz w:val="20"/>
                <w:szCs w:val="20"/>
              </w:rPr>
              <w:t>4</w:t>
            </w:r>
          </w:p>
        </w:tc>
        <w:tc>
          <w:tcPr>
            <w:tcW w:w="2768" w:type="pct"/>
            <w:gridSpan w:val="5"/>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上市企业数量（家）</w:t>
            </w:r>
          </w:p>
        </w:tc>
        <w:tc>
          <w:tcPr>
            <w:tcW w:w="770"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≥5</w:t>
            </w:r>
          </w:p>
        </w:tc>
        <w:tc>
          <w:tcPr>
            <w:tcW w:w="764"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w:t>
            </w:r>
            <w:r>
              <w:rPr>
                <w:rFonts w:ascii="黑体" w:hAnsi="黑体" w:eastAsia="黑体"/>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restar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创新</w:t>
            </w:r>
          </w:p>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能力</w:t>
            </w: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w:t>
            </w:r>
            <w:r>
              <w:rPr>
                <w:rFonts w:ascii="黑体" w:hAnsi="黑体" w:eastAsia="黑体"/>
                <w:sz w:val="20"/>
                <w:szCs w:val="20"/>
              </w:rPr>
              <w:t>5</w:t>
            </w:r>
          </w:p>
        </w:tc>
        <w:tc>
          <w:tcPr>
            <w:tcW w:w="2768" w:type="pct"/>
            <w:gridSpan w:val="5"/>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新能源电池及材料产业相关的国家级技术中心</w:t>
            </w:r>
          </w:p>
        </w:tc>
        <w:tc>
          <w:tcPr>
            <w:tcW w:w="770"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w:t>
            </w:r>
          </w:p>
        </w:tc>
        <w:tc>
          <w:tcPr>
            <w:tcW w:w="764"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w:t>
            </w:r>
            <w:r>
              <w:rPr>
                <w:rFonts w:ascii="黑体" w:hAnsi="黑体" w:eastAsia="黑体"/>
                <w:sz w:val="20"/>
                <w:szCs w:val="20"/>
              </w:rPr>
              <w:t>6</w:t>
            </w:r>
          </w:p>
        </w:tc>
        <w:tc>
          <w:tcPr>
            <w:tcW w:w="2768" w:type="pct"/>
            <w:gridSpan w:val="5"/>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新能源电池及材料产业相关的省级技术中心</w:t>
            </w:r>
          </w:p>
        </w:tc>
        <w:tc>
          <w:tcPr>
            <w:tcW w:w="770"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w:t>
            </w:r>
            <w:r>
              <w:rPr>
                <w:rFonts w:ascii="黑体" w:hAnsi="黑体" w:eastAsia="黑体"/>
                <w:sz w:val="20"/>
                <w:szCs w:val="20"/>
              </w:rPr>
              <w:t>0</w:t>
            </w:r>
          </w:p>
        </w:tc>
        <w:tc>
          <w:tcPr>
            <w:tcW w:w="764"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w:t>
            </w:r>
            <w:r>
              <w:rPr>
                <w:rFonts w:ascii="黑体" w:hAnsi="黑体" w:eastAsia="黑体"/>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51" w:type="pct"/>
            <w:vMerge w:val="continue"/>
            <w:vAlign w:val="center"/>
          </w:tcPr>
          <w:p>
            <w:pPr>
              <w:spacing w:line="240" w:lineRule="auto"/>
              <w:ind w:firstLine="0" w:firstLineChars="0"/>
              <w:jc w:val="center"/>
              <w:rPr>
                <w:rFonts w:ascii="黑体" w:hAnsi="黑体" w:eastAsia="黑体"/>
                <w:sz w:val="20"/>
                <w:szCs w:val="20"/>
              </w:rPr>
            </w:pPr>
          </w:p>
        </w:tc>
        <w:tc>
          <w:tcPr>
            <w:tcW w:w="347" w:type="pct"/>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2</w:t>
            </w:r>
            <w:r>
              <w:rPr>
                <w:rFonts w:ascii="黑体" w:hAnsi="黑体" w:eastAsia="黑体"/>
                <w:sz w:val="20"/>
                <w:szCs w:val="20"/>
              </w:rPr>
              <w:t>7</w:t>
            </w:r>
          </w:p>
        </w:tc>
        <w:tc>
          <w:tcPr>
            <w:tcW w:w="2768" w:type="pct"/>
            <w:gridSpan w:val="5"/>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新能源电池及材料产业相关的国家级第三方平台</w:t>
            </w:r>
          </w:p>
        </w:tc>
        <w:tc>
          <w:tcPr>
            <w:tcW w:w="770"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≥1</w:t>
            </w:r>
          </w:p>
        </w:tc>
        <w:tc>
          <w:tcPr>
            <w:tcW w:w="764" w:type="pct"/>
            <w:gridSpan w:val="2"/>
            <w:vAlign w:val="center"/>
          </w:tcPr>
          <w:p>
            <w:pPr>
              <w:spacing w:line="240" w:lineRule="auto"/>
              <w:ind w:firstLine="0" w:firstLineChars="0"/>
              <w:jc w:val="center"/>
              <w:rPr>
                <w:rFonts w:ascii="黑体" w:hAnsi="黑体" w:eastAsia="黑体"/>
                <w:sz w:val="20"/>
                <w:szCs w:val="20"/>
              </w:rPr>
            </w:pPr>
            <w:r>
              <w:rPr>
                <w:rFonts w:hint="eastAsia" w:ascii="黑体" w:hAnsi="黑体" w:eastAsia="黑体"/>
                <w:sz w:val="20"/>
                <w:szCs w:val="20"/>
              </w:rPr>
              <w:t>≥3</w:t>
            </w:r>
          </w:p>
        </w:tc>
      </w:tr>
    </w:tbl>
    <w:p>
      <w:pPr>
        <w:pStyle w:val="2"/>
        <w:ind w:firstLine="0" w:firstLineChars="0"/>
      </w:pPr>
    </w:p>
    <w:p>
      <w:pPr>
        <w:pStyle w:val="5"/>
        <w:pageBreakBefore/>
        <w:ind w:left="414" w:firstLine="562"/>
      </w:pPr>
      <w:bookmarkStart w:id="49" w:name="_Toc118298128"/>
      <w:r>
        <w:rPr>
          <w:rFonts w:hint="eastAsia"/>
        </w:rPr>
        <w:t>3</w:t>
      </w:r>
      <w:r>
        <w:t xml:space="preserve">. </w:t>
      </w:r>
      <w:r>
        <w:rPr>
          <w:rFonts w:hint="eastAsia"/>
        </w:rPr>
        <w:t>分区域发展目标</w:t>
      </w:r>
      <w:bookmarkEnd w:id="49"/>
    </w:p>
    <w:p>
      <w:pPr>
        <w:ind w:firstLine="170" w:firstLineChars="71"/>
        <w:jc w:val="center"/>
        <w:rPr>
          <w:rFonts w:ascii="黑体" w:hAnsi="黑体" w:eastAsia="黑体" w:cs="黑体"/>
          <w:sz w:val="24"/>
          <w:szCs w:val="24"/>
        </w:rPr>
      </w:pPr>
      <w:r>
        <w:rPr>
          <w:rFonts w:hint="eastAsia" w:ascii="黑体" w:hAnsi="黑体" w:eastAsia="黑体" w:cs="黑体"/>
          <w:sz w:val="24"/>
          <w:szCs w:val="24"/>
        </w:rPr>
        <w:t>贵州省新能源电池及材料产业各市州产值目标</w:t>
      </w:r>
    </w:p>
    <w:tbl>
      <w:tblPr>
        <w:tblStyle w:val="20"/>
        <w:tblW w:w="49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3316"/>
        <w:gridCol w:w="2040"/>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881" w:type="pct"/>
            <w:shd w:val="clear" w:color="auto" w:fill="5B9BD5" w:themeFill="accent5"/>
            <w:noWrap/>
            <w:vAlign w:val="center"/>
          </w:tcPr>
          <w:p>
            <w:pPr>
              <w:widowControl/>
              <w:spacing w:line="240" w:lineRule="auto"/>
              <w:ind w:firstLine="0" w:firstLineChars="0"/>
              <w:jc w:val="center"/>
              <w:rPr>
                <w:rFonts w:ascii="黑体" w:hAnsi="黑体" w:eastAsia="黑体" w:cs="宋体"/>
                <w:b/>
                <w:bCs/>
                <w:color w:val="FFFFFF" w:themeColor="background1"/>
                <w:kern w:val="0"/>
                <w:sz w:val="20"/>
                <w:szCs w:val="20"/>
                <w14:textFill>
                  <w14:solidFill>
                    <w14:schemeClr w14:val="bg1"/>
                  </w14:solidFill>
                </w14:textFill>
              </w:rPr>
            </w:pPr>
            <w:r>
              <w:rPr>
                <w:rFonts w:hint="eastAsia" w:ascii="黑体" w:hAnsi="黑体" w:eastAsia="黑体" w:cs="宋体"/>
                <w:b/>
                <w:bCs/>
                <w:color w:val="FFFFFF" w:themeColor="background1"/>
                <w:kern w:val="0"/>
                <w:sz w:val="20"/>
                <w:szCs w:val="20"/>
                <w14:textFill>
                  <w14:solidFill>
                    <w14:schemeClr w14:val="bg1"/>
                  </w14:solidFill>
                </w14:textFill>
              </w:rPr>
              <w:t>市（州）</w:t>
            </w:r>
          </w:p>
        </w:tc>
        <w:tc>
          <w:tcPr>
            <w:tcW w:w="1847" w:type="pct"/>
            <w:shd w:val="clear" w:color="auto" w:fill="5B9BD5" w:themeFill="accent5"/>
            <w:vAlign w:val="center"/>
          </w:tcPr>
          <w:p>
            <w:pPr>
              <w:widowControl/>
              <w:spacing w:line="240" w:lineRule="auto"/>
              <w:ind w:firstLine="0" w:firstLineChars="0"/>
              <w:jc w:val="center"/>
              <w:rPr>
                <w:rFonts w:ascii="黑体" w:hAnsi="黑体" w:eastAsia="黑体"/>
                <w:b/>
                <w:bCs/>
                <w:color w:val="FFFFFF" w:themeColor="background1"/>
                <w:sz w:val="20"/>
                <w:szCs w:val="20"/>
                <w14:textFill>
                  <w14:solidFill>
                    <w14:schemeClr w14:val="bg1"/>
                  </w14:solidFill>
                </w14:textFill>
              </w:rPr>
            </w:pPr>
            <w:r>
              <w:rPr>
                <w:rFonts w:hint="eastAsia" w:ascii="黑体" w:hAnsi="黑体" w:eastAsia="黑体"/>
                <w:b/>
                <w:bCs/>
                <w:color w:val="FFFFFF" w:themeColor="background1"/>
                <w:sz w:val="20"/>
                <w:szCs w:val="20"/>
                <w14:textFill>
                  <w14:solidFill>
                    <w14:schemeClr w14:val="bg1"/>
                  </w14:solidFill>
                </w14:textFill>
              </w:rPr>
              <w:t>发展重点</w:t>
            </w:r>
          </w:p>
        </w:tc>
        <w:tc>
          <w:tcPr>
            <w:tcW w:w="1136" w:type="pct"/>
            <w:shd w:val="clear" w:color="auto" w:fill="5B9BD5" w:themeFill="accent5"/>
            <w:vAlign w:val="center"/>
          </w:tcPr>
          <w:p>
            <w:pPr>
              <w:widowControl/>
              <w:spacing w:line="240" w:lineRule="auto"/>
              <w:ind w:firstLine="0" w:firstLineChars="0"/>
              <w:jc w:val="center"/>
              <w:rPr>
                <w:rFonts w:ascii="黑体" w:hAnsi="黑体" w:eastAsia="黑体"/>
                <w:b/>
                <w:bCs/>
                <w:color w:val="FFFFFF" w:themeColor="background1"/>
                <w:sz w:val="20"/>
                <w:szCs w:val="20"/>
                <w14:textFill>
                  <w14:solidFill>
                    <w14:schemeClr w14:val="bg1"/>
                  </w14:solidFill>
                </w14:textFill>
              </w:rPr>
            </w:pPr>
            <w:r>
              <w:rPr>
                <w:rFonts w:hint="eastAsia" w:ascii="黑体" w:hAnsi="黑体" w:eastAsia="黑体"/>
                <w:b/>
                <w:bCs/>
                <w:color w:val="FFFFFF" w:themeColor="background1"/>
                <w:sz w:val="20"/>
                <w:szCs w:val="20"/>
                <w14:textFill>
                  <w14:solidFill>
                    <w14:schemeClr w14:val="bg1"/>
                  </w14:solidFill>
                </w14:textFill>
              </w:rPr>
              <w:t>2025年产值目标</w:t>
            </w:r>
          </w:p>
          <w:p>
            <w:pPr>
              <w:widowControl/>
              <w:spacing w:line="240" w:lineRule="auto"/>
              <w:ind w:firstLine="0" w:firstLineChars="0"/>
              <w:jc w:val="center"/>
              <w:rPr>
                <w:rFonts w:ascii="黑体" w:hAnsi="黑体" w:eastAsia="黑体" w:cs="Times New Roman"/>
                <w:b/>
                <w:bCs/>
                <w:color w:val="FFFFFF" w:themeColor="background1"/>
                <w:kern w:val="0"/>
                <w:sz w:val="20"/>
                <w:szCs w:val="20"/>
                <w14:textFill>
                  <w14:solidFill>
                    <w14:schemeClr w14:val="bg1"/>
                  </w14:solidFill>
                </w14:textFill>
              </w:rPr>
            </w:pPr>
            <w:r>
              <w:rPr>
                <w:rFonts w:hint="eastAsia" w:ascii="黑体" w:hAnsi="黑体" w:eastAsia="黑体"/>
                <w:b/>
                <w:bCs/>
                <w:color w:val="FFFFFF" w:themeColor="background1"/>
                <w:sz w:val="20"/>
                <w:szCs w:val="20"/>
                <w14:textFill>
                  <w14:solidFill>
                    <w14:schemeClr w14:val="bg1"/>
                  </w14:solidFill>
                </w14:textFill>
              </w:rPr>
              <w:t>(亿元</w:t>
            </w:r>
            <w:r>
              <w:rPr>
                <w:rFonts w:ascii="黑体" w:hAnsi="黑体" w:eastAsia="黑体"/>
                <w:b/>
                <w:bCs/>
                <w:color w:val="FFFFFF" w:themeColor="background1"/>
                <w:sz w:val="20"/>
                <w:szCs w:val="20"/>
                <w14:textFill>
                  <w14:solidFill>
                    <w14:schemeClr w14:val="bg1"/>
                  </w14:solidFill>
                </w14:textFill>
              </w:rPr>
              <w:t>)</w:t>
            </w:r>
          </w:p>
        </w:tc>
        <w:tc>
          <w:tcPr>
            <w:tcW w:w="1136" w:type="pct"/>
            <w:shd w:val="clear" w:color="auto" w:fill="5B9BD5" w:themeFill="accent5"/>
            <w:vAlign w:val="center"/>
          </w:tcPr>
          <w:p>
            <w:pPr>
              <w:widowControl/>
              <w:spacing w:line="240" w:lineRule="auto"/>
              <w:ind w:firstLine="0" w:firstLineChars="0"/>
              <w:jc w:val="center"/>
              <w:rPr>
                <w:rFonts w:ascii="黑体" w:hAnsi="黑体" w:eastAsia="黑体"/>
                <w:b/>
                <w:bCs/>
                <w:color w:val="FFFFFF" w:themeColor="background1"/>
                <w:sz w:val="20"/>
                <w:szCs w:val="20"/>
                <w14:textFill>
                  <w14:solidFill>
                    <w14:schemeClr w14:val="bg1"/>
                  </w14:solidFill>
                </w14:textFill>
              </w:rPr>
            </w:pPr>
            <w:r>
              <w:rPr>
                <w:rFonts w:hint="eastAsia" w:ascii="黑体" w:hAnsi="黑体" w:eastAsia="黑体"/>
                <w:b/>
                <w:bCs/>
                <w:color w:val="FFFFFF" w:themeColor="background1"/>
                <w:sz w:val="20"/>
                <w:szCs w:val="20"/>
                <w14:textFill>
                  <w14:solidFill>
                    <w14:schemeClr w14:val="bg1"/>
                  </w14:solidFill>
                </w14:textFill>
              </w:rPr>
              <w:t>20</w:t>
            </w:r>
            <w:r>
              <w:rPr>
                <w:rFonts w:ascii="黑体" w:hAnsi="黑体" w:eastAsia="黑体"/>
                <w:b/>
                <w:bCs/>
                <w:color w:val="FFFFFF" w:themeColor="background1"/>
                <w:sz w:val="20"/>
                <w:szCs w:val="20"/>
                <w14:textFill>
                  <w14:solidFill>
                    <w14:schemeClr w14:val="bg1"/>
                  </w14:solidFill>
                </w14:textFill>
              </w:rPr>
              <w:t>30</w:t>
            </w:r>
            <w:r>
              <w:rPr>
                <w:rFonts w:hint="eastAsia" w:ascii="黑体" w:hAnsi="黑体" w:eastAsia="黑体"/>
                <w:b/>
                <w:bCs/>
                <w:color w:val="FFFFFF" w:themeColor="background1"/>
                <w:sz w:val="20"/>
                <w:szCs w:val="20"/>
                <w14:textFill>
                  <w14:solidFill>
                    <w14:schemeClr w14:val="bg1"/>
                  </w14:solidFill>
                </w14:textFill>
              </w:rPr>
              <w:t>年产值目标</w:t>
            </w:r>
          </w:p>
          <w:p>
            <w:pPr>
              <w:widowControl/>
              <w:spacing w:line="240" w:lineRule="auto"/>
              <w:ind w:firstLine="0" w:firstLineChars="0"/>
              <w:jc w:val="center"/>
              <w:rPr>
                <w:rFonts w:ascii="黑体" w:hAnsi="黑体" w:eastAsia="黑体" w:cs="Times New Roman"/>
                <w:b/>
                <w:bCs/>
                <w:color w:val="FFFFFF" w:themeColor="background1"/>
                <w:kern w:val="0"/>
                <w:sz w:val="20"/>
                <w:szCs w:val="20"/>
                <w14:textFill>
                  <w14:solidFill>
                    <w14:schemeClr w14:val="bg1"/>
                  </w14:solidFill>
                </w14:textFill>
              </w:rPr>
            </w:pPr>
            <w:r>
              <w:rPr>
                <w:rFonts w:hint="eastAsia" w:ascii="黑体" w:hAnsi="黑体" w:eastAsia="黑体"/>
                <w:b/>
                <w:bCs/>
                <w:color w:val="FFFFFF" w:themeColor="background1"/>
                <w:sz w:val="20"/>
                <w:szCs w:val="20"/>
                <w14:textFill>
                  <w14:solidFill>
                    <w14:schemeClr w14:val="bg1"/>
                  </w14:solidFill>
                </w14:textFill>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881" w:type="pct"/>
            <w:shd w:val="clear" w:color="auto" w:fill="auto"/>
            <w:noWrap/>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olor w:val="000000"/>
                <w:sz w:val="20"/>
                <w:szCs w:val="20"/>
              </w:rPr>
              <w:t>贵阳市</w:t>
            </w:r>
          </w:p>
        </w:tc>
        <w:tc>
          <w:tcPr>
            <w:tcW w:w="1847" w:type="pct"/>
            <w:vAlign w:val="center"/>
          </w:tcPr>
          <w:p>
            <w:pPr>
              <w:widowControl/>
              <w:spacing w:line="240" w:lineRule="auto"/>
              <w:ind w:firstLine="0" w:firstLineChars="0"/>
              <w:jc w:val="center"/>
              <w:rPr>
                <w:rFonts w:ascii="黑体" w:hAnsi="黑体" w:eastAsia="黑体"/>
                <w:sz w:val="20"/>
                <w:szCs w:val="20"/>
              </w:rPr>
            </w:pPr>
            <w:r>
              <w:rPr>
                <w:rFonts w:hint="eastAsia" w:ascii="黑体" w:hAnsi="黑体" w:eastAsia="黑体"/>
                <w:color w:val="000000"/>
                <w:sz w:val="20"/>
                <w:szCs w:val="20"/>
              </w:rPr>
              <w:t>电池、正极材料、隔膜、电池回收、结构件、锂电设备</w:t>
            </w:r>
          </w:p>
        </w:tc>
        <w:tc>
          <w:tcPr>
            <w:tcW w:w="1136" w:type="pct"/>
            <w:shd w:val="clear" w:color="auto" w:fill="auto"/>
            <w:vAlign w:val="center"/>
          </w:tcPr>
          <w:p>
            <w:pPr>
              <w:widowControl/>
              <w:spacing w:line="240" w:lineRule="auto"/>
              <w:ind w:firstLine="0" w:firstLineChars="0"/>
              <w:jc w:val="center"/>
              <w:rPr>
                <w:rFonts w:ascii="黑体" w:hAnsi="黑体" w:eastAsia="黑体" w:cs="Times New Roman"/>
                <w:kern w:val="0"/>
                <w:sz w:val="20"/>
                <w:szCs w:val="20"/>
              </w:rPr>
            </w:pPr>
            <w:r>
              <w:rPr>
                <w:rFonts w:hint="eastAsia" w:ascii="黑体" w:hAnsi="黑体" w:eastAsia="黑体"/>
                <w:sz w:val="20"/>
                <w:szCs w:val="20"/>
              </w:rPr>
              <w:t>1800</w:t>
            </w:r>
          </w:p>
        </w:tc>
        <w:tc>
          <w:tcPr>
            <w:tcW w:w="1136" w:type="pct"/>
            <w:shd w:val="clear" w:color="auto" w:fill="auto"/>
            <w:vAlign w:val="center"/>
          </w:tcPr>
          <w:p>
            <w:pPr>
              <w:widowControl/>
              <w:spacing w:line="240" w:lineRule="auto"/>
              <w:ind w:firstLine="0" w:firstLineChars="0"/>
              <w:jc w:val="center"/>
              <w:rPr>
                <w:rFonts w:ascii="黑体" w:hAnsi="黑体" w:eastAsia="黑体" w:cs="Times New Roman"/>
                <w:kern w:val="0"/>
                <w:sz w:val="20"/>
                <w:szCs w:val="20"/>
              </w:rPr>
            </w:pPr>
            <w:r>
              <w:rPr>
                <w:rFonts w:hint="eastAsia" w:ascii="黑体" w:hAnsi="黑体" w:eastAsia="黑体"/>
                <w:sz w:val="20"/>
                <w:szCs w:val="20"/>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881" w:type="pct"/>
            <w:shd w:val="clear" w:color="auto" w:fill="auto"/>
            <w:noWrap/>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olor w:val="000000"/>
                <w:sz w:val="20"/>
                <w:szCs w:val="20"/>
              </w:rPr>
              <w:t>铜仁市</w:t>
            </w:r>
          </w:p>
        </w:tc>
        <w:tc>
          <w:tcPr>
            <w:tcW w:w="1847" w:type="pct"/>
            <w:vAlign w:val="center"/>
          </w:tcPr>
          <w:p>
            <w:pPr>
              <w:widowControl/>
              <w:spacing w:line="240" w:lineRule="auto"/>
              <w:ind w:firstLine="0" w:firstLineChars="0"/>
              <w:jc w:val="center"/>
              <w:rPr>
                <w:rFonts w:ascii="黑体" w:hAnsi="黑体" w:eastAsia="黑体"/>
                <w:sz w:val="20"/>
                <w:szCs w:val="20"/>
              </w:rPr>
            </w:pPr>
            <w:r>
              <w:rPr>
                <w:rFonts w:hint="eastAsia" w:ascii="黑体" w:hAnsi="黑体" w:eastAsia="黑体"/>
                <w:color w:val="000000"/>
                <w:sz w:val="20"/>
                <w:szCs w:val="20"/>
              </w:rPr>
              <w:t>正极材料、负极材料、电池回收</w:t>
            </w:r>
          </w:p>
        </w:tc>
        <w:tc>
          <w:tcPr>
            <w:tcW w:w="1136" w:type="pct"/>
            <w:shd w:val="clear" w:color="auto" w:fill="auto"/>
            <w:vAlign w:val="center"/>
          </w:tcPr>
          <w:p>
            <w:pPr>
              <w:widowControl/>
              <w:spacing w:line="240" w:lineRule="auto"/>
              <w:ind w:firstLine="0" w:firstLineChars="0"/>
              <w:jc w:val="center"/>
              <w:rPr>
                <w:rFonts w:ascii="黑体" w:hAnsi="黑体" w:eastAsia="黑体" w:cs="Times New Roman"/>
                <w:kern w:val="0"/>
                <w:sz w:val="20"/>
                <w:szCs w:val="20"/>
              </w:rPr>
            </w:pPr>
            <w:r>
              <w:rPr>
                <w:rFonts w:hint="eastAsia" w:ascii="黑体" w:hAnsi="黑体" w:eastAsia="黑体"/>
                <w:sz w:val="20"/>
                <w:szCs w:val="20"/>
              </w:rPr>
              <w:t>1000</w:t>
            </w:r>
          </w:p>
        </w:tc>
        <w:tc>
          <w:tcPr>
            <w:tcW w:w="1136" w:type="pct"/>
            <w:shd w:val="clear" w:color="auto" w:fill="auto"/>
            <w:vAlign w:val="center"/>
          </w:tcPr>
          <w:p>
            <w:pPr>
              <w:widowControl/>
              <w:spacing w:line="240" w:lineRule="auto"/>
              <w:ind w:firstLine="0" w:firstLineChars="0"/>
              <w:jc w:val="center"/>
              <w:rPr>
                <w:rFonts w:ascii="黑体" w:hAnsi="黑体" w:eastAsia="黑体" w:cs="Times New Roman"/>
                <w:kern w:val="0"/>
                <w:sz w:val="20"/>
                <w:szCs w:val="20"/>
              </w:rPr>
            </w:pPr>
            <w:r>
              <w:rPr>
                <w:rFonts w:hint="eastAsia" w:ascii="黑体" w:hAnsi="黑体" w:eastAsia="黑体"/>
                <w:sz w:val="20"/>
                <w:szCs w:val="2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881" w:type="pct"/>
            <w:shd w:val="clear" w:color="auto" w:fill="auto"/>
            <w:noWrap/>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olor w:val="000000"/>
                <w:sz w:val="20"/>
                <w:szCs w:val="20"/>
              </w:rPr>
              <w:t>黔西南</w:t>
            </w:r>
          </w:p>
        </w:tc>
        <w:tc>
          <w:tcPr>
            <w:tcW w:w="1847" w:type="pct"/>
            <w:vAlign w:val="center"/>
          </w:tcPr>
          <w:p>
            <w:pPr>
              <w:widowControl/>
              <w:spacing w:line="240" w:lineRule="auto"/>
              <w:ind w:firstLine="0" w:firstLineChars="0"/>
              <w:jc w:val="center"/>
              <w:rPr>
                <w:rFonts w:ascii="黑体" w:hAnsi="黑体" w:eastAsia="黑体"/>
                <w:sz w:val="20"/>
                <w:szCs w:val="20"/>
              </w:rPr>
            </w:pPr>
            <w:r>
              <w:rPr>
                <w:rFonts w:hint="eastAsia" w:ascii="黑体" w:hAnsi="黑体" w:eastAsia="黑体"/>
                <w:color w:val="000000"/>
                <w:sz w:val="20"/>
                <w:szCs w:val="20"/>
              </w:rPr>
              <w:t>正极材料、负极材料</w:t>
            </w:r>
          </w:p>
        </w:tc>
        <w:tc>
          <w:tcPr>
            <w:tcW w:w="1136" w:type="pct"/>
            <w:shd w:val="clear" w:color="auto" w:fill="auto"/>
            <w:vAlign w:val="center"/>
          </w:tcPr>
          <w:p>
            <w:pPr>
              <w:widowControl/>
              <w:spacing w:line="240" w:lineRule="auto"/>
              <w:ind w:firstLine="0" w:firstLineChars="0"/>
              <w:jc w:val="center"/>
              <w:rPr>
                <w:rFonts w:ascii="黑体" w:hAnsi="黑体" w:eastAsia="黑体" w:cs="Times New Roman"/>
                <w:kern w:val="0"/>
                <w:sz w:val="20"/>
                <w:szCs w:val="20"/>
              </w:rPr>
            </w:pPr>
            <w:r>
              <w:rPr>
                <w:rFonts w:hint="eastAsia" w:ascii="黑体" w:hAnsi="黑体" w:eastAsia="黑体"/>
                <w:sz w:val="20"/>
                <w:szCs w:val="20"/>
              </w:rPr>
              <w:t>400</w:t>
            </w:r>
          </w:p>
        </w:tc>
        <w:tc>
          <w:tcPr>
            <w:tcW w:w="1136" w:type="pct"/>
            <w:shd w:val="clear" w:color="auto" w:fill="auto"/>
            <w:vAlign w:val="center"/>
          </w:tcPr>
          <w:p>
            <w:pPr>
              <w:widowControl/>
              <w:spacing w:line="240" w:lineRule="auto"/>
              <w:ind w:firstLine="0" w:firstLineChars="0"/>
              <w:jc w:val="center"/>
              <w:rPr>
                <w:rFonts w:ascii="黑体" w:hAnsi="黑体" w:eastAsia="黑体" w:cs="Times New Roman"/>
                <w:kern w:val="0"/>
                <w:sz w:val="20"/>
                <w:szCs w:val="20"/>
              </w:rPr>
            </w:pPr>
            <w:r>
              <w:rPr>
                <w:rFonts w:hint="eastAsia" w:ascii="黑体" w:hAnsi="黑体" w:eastAsia="黑体"/>
                <w:sz w:val="20"/>
                <w:szCs w:val="20"/>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881" w:type="pct"/>
            <w:shd w:val="clear" w:color="auto" w:fill="auto"/>
            <w:noWrap/>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olor w:val="000000"/>
                <w:sz w:val="20"/>
                <w:szCs w:val="20"/>
              </w:rPr>
              <w:t>六盘水市</w:t>
            </w:r>
          </w:p>
        </w:tc>
        <w:tc>
          <w:tcPr>
            <w:tcW w:w="1847" w:type="pct"/>
            <w:vAlign w:val="center"/>
          </w:tcPr>
          <w:p>
            <w:pPr>
              <w:widowControl/>
              <w:spacing w:line="240" w:lineRule="auto"/>
              <w:ind w:firstLine="0" w:firstLineChars="0"/>
              <w:jc w:val="center"/>
              <w:rPr>
                <w:rFonts w:ascii="黑体" w:hAnsi="黑体" w:eastAsia="黑体"/>
                <w:sz w:val="20"/>
                <w:szCs w:val="20"/>
              </w:rPr>
            </w:pPr>
            <w:r>
              <w:rPr>
                <w:rFonts w:hint="eastAsia" w:ascii="黑体" w:hAnsi="黑体" w:eastAsia="黑体"/>
                <w:color w:val="000000"/>
                <w:sz w:val="20"/>
                <w:szCs w:val="20"/>
              </w:rPr>
              <w:t>电池、正极材料、铜箔、铝箔</w:t>
            </w:r>
          </w:p>
        </w:tc>
        <w:tc>
          <w:tcPr>
            <w:tcW w:w="1136" w:type="pct"/>
            <w:shd w:val="clear" w:color="auto" w:fill="auto"/>
            <w:vAlign w:val="center"/>
          </w:tcPr>
          <w:p>
            <w:pPr>
              <w:widowControl/>
              <w:spacing w:line="240" w:lineRule="auto"/>
              <w:ind w:firstLine="0" w:firstLineChars="0"/>
              <w:jc w:val="center"/>
              <w:rPr>
                <w:rFonts w:ascii="黑体" w:hAnsi="黑体" w:eastAsia="黑体" w:cs="Times New Roman"/>
                <w:kern w:val="0"/>
                <w:sz w:val="20"/>
                <w:szCs w:val="20"/>
              </w:rPr>
            </w:pPr>
            <w:r>
              <w:rPr>
                <w:rFonts w:hint="eastAsia" w:ascii="黑体" w:hAnsi="黑体" w:eastAsia="黑体"/>
                <w:sz w:val="20"/>
                <w:szCs w:val="20"/>
              </w:rPr>
              <w:t>400</w:t>
            </w:r>
          </w:p>
        </w:tc>
        <w:tc>
          <w:tcPr>
            <w:tcW w:w="1136" w:type="pct"/>
            <w:shd w:val="clear" w:color="auto" w:fill="auto"/>
            <w:vAlign w:val="center"/>
          </w:tcPr>
          <w:p>
            <w:pPr>
              <w:widowControl/>
              <w:spacing w:line="240" w:lineRule="auto"/>
              <w:ind w:firstLine="0" w:firstLineChars="0"/>
              <w:jc w:val="center"/>
              <w:rPr>
                <w:rFonts w:ascii="黑体" w:hAnsi="黑体" w:eastAsia="黑体" w:cs="Times New Roman"/>
                <w:kern w:val="0"/>
                <w:sz w:val="20"/>
                <w:szCs w:val="20"/>
              </w:rPr>
            </w:pPr>
            <w:r>
              <w:rPr>
                <w:rFonts w:hint="eastAsia" w:ascii="黑体" w:hAnsi="黑体" w:eastAsia="黑体"/>
                <w:sz w:val="20"/>
                <w:szCs w:val="2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881" w:type="pct"/>
            <w:shd w:val="clear" w:color="auto" w:fill="auto"/>
            <w:noWrap/>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olor w:val="000000"/>
                <w:sz w:val="20"/>
                <w:szCs w:val="20"/>
              </w:rPr>
              <w:t>遵义市</w:t>
            </w:r>
          </w:p>
        </w:tc>
        <w:tc>
          <w:tcPr>
            <w:tcW w:w="1847" w:type="pct"/>
            <w:vAlign w:val="center"/>
          </w:tcPr>
          <w:p>
            <w:pPr>
              <w:widowControl/>
              <w:spacing w:line="240" w:lineRule="auto"/>
              <w:ind w:firstLine="0" w:firstLineChars="0"/>
              <w:jc w:val="center"/>
              <w:rPr>
                <w:rFonts w:ascii="黑体" w:hAnsi="黑体" w:eastAsia="黑体"/>
                <w:sz w:val="20"/>
                <w:szCs w:val="20"/>
              </w:rPr>
            </w:pPr>
            <w:r>
              <w:rPr>
                <w:rFonts w:hint="eastAsia" w:ascii="黑体" w:hAnsi="黑体" w:eastAsia="黑体"/>
                <w:color w:val="000000"/>
                <w:sz w:val="20"/>
                <w:szCs w:val="20"/>
              </w:rPr>
              <w:t>电池检测、正极材料</w:t>
            </w:r>
          </w:p>
        </w:tc>
        <w:tc>
          <w:tcPr>
            <w:tcW w:w="1136" w:type="pct"/>
            <w:shd w:val="clear" w:color="auto" w:fill="auto"/>
            <w:vAlign w:val="center"/>
          </w:tcPr>
          <w:p>
            <w:pPr>
              <w:widowControl/>
              <w:spacing w:line="240" w:lineRule="auto"/>
              <w:ind w:firstLine="0" w:firstLineChars="0"/>
              <w:jc w:val="center"/>
              <w:rPr>
                <w:rFonts w:ascii="黑体" w:hAnsi="黑体" w:eastAsia="黑体" w:cs="Times New Roman"/>
                <w:kern w:val="0"/>
                <w:sz w:val="20"/>
                <w:szCs w:val="20"/>
              </w:rPr>
            </w:pPr>
            <w:r>
              <w:rPr>
                <w:rFonts w:hint="eastAsia" w:ascii="黑体" w:hAnsi="黑体" w:eastAsia="黑体"/>
                <w:sz w:val="20"/>
                <w:szCs w:val="20"/>
              </w:rPr>
              <w:t>150</w:t>
            </w:r>
          </w:p>
        </w:tc>
        <w:tc>
          <w:tcPr>
            <w:tcW w:w="1136" w:type="pct"/>
            <w:shd w:val="clear" w:color="auto" w:fill="auto"/>
            <w:vAlign w:val="center"/>
          </w:tcPr>
          <w:p>
            <w:pPr>
              <w:widowControl/>
              <w:spacing w:line="240" w:lineRule="auto"/>
              <w:ind w:firstLine="0" w:firstLineChars="0"/>
              <w:jc w:val="center"/>
              <w:rPr>
                <w:rFonts w:ascii="黑体" w:hAnsi="黑体" w:eastAsia="黑体" w:cs="Times New Roman"/>
                <w:kern w:val="0"/>
                <w:sz w:val="20"/>
                <w:szCs w:val="20"/>
              </w:rPr>
            </w:pPr>
            <w:r>
              <w:rPr>
                <w:rFonts w:hint="eastAsia" w:ascii="黑体" w:hAnsi="黑体" w:eastAsia="黑体"/>
                <w:sz w:val="20"/>
                <w:szCs w:val="2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881" w:type="pct"/>
            <w:shd w:val="clear" w:color="auto" w:fill="auto"/>
            <w:noWrap/>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olor w:val="000000"/>
                <w:sz w:val="20"/>
                <w:szCs w:val="20"/>
              </w:rPr>
              <w:t>毕节市</w:t>
            </w:r>
          </w:p>
        </w:tc>
        <w:tc>
          <w:tcPr>
            <w:tcW w:w="1847" w:type="pct"/>
            <w:vAlign w:val="center"/>
          </w:tcPr>
          <w:p>
            <w:pPr>
              <w:widowControl/>
              <w:spacing w:line="240" w:lineRule="auto"/>
              <w:ind w:firstLine="0" w:firstLineChars="0"/>
              <w:jc w:val="center"/>
              <w:rPr>
                <w:rFonts w:ascii="黑体" w:hAnsi="黑体" w:eastAsia="黑体"/>
                <w:sz w:val="20"/>
                <w:szCs w:val="20"/>
              </w:rPr>
            </w:pPr>
            <w:r>
              <w:rPr>
                <w:rFonts w:hint="eastAsia" w:ascii="黑体" w:hAnsi="黑体" w:eastAsia="黑体"/>
                <w:color w:val="000000"/>
                <w:sz w:val="20"/>
                <w:szCs w:val="20"/>
              </w:rPr>
              <w:t>电池、正极材料、电池回收</w:t>
            </w:r>
          </w:p>
        </w:tc>
        <w:tc>
          <w:tcPr>
            <w:tcW w:w="1136" w:type="pct"/>
            <w:shd w:val="clear" w:color="auto" w:fill="auto"/>
            <w:vAlign w:val="center"/>
          </w:tcPr>
          <w:p>
            <w:pPr>
              <w:widowControl/>
              <w:spacing w:line="240" w:lineRule="auto"/>
              <w:ind w:firstLine="0" w:firstLineChars="0"/>
              <w:jc w:val="center"/>
              <w:rPr>
                <w:rFonts w:ascii="黑体" w:hAnsi="黑体" w:eastAsia="黑体" w:cs="Times New Roman"/>
                <w:kern w:val="0"/>
                <w:sz w:val="20"/>
                <w:szCs w:val="20"/>
              </w:rPr>
            </w:pPr>
            <w:r>
              <w:rPr>
                <w:rFonts w:hint="eastAsia" w:ascii="黑体" w:hAnsi="黑体" w:eastAsia="黑体"/>
                <w:sz w:val="20"/>
                <w:szCs w:val="20"/>
              </w:rPr>
              <w:t>100</w:t>
            </w:r>
          </w:p>
        </w:tc>
        <w:tc>
          <w:tcPr>
            <w:tcW w:w="1136" w:type="pct"/>
            <w:shd w:val="clear" w:color="auto" w:fill="auto"/>
            <w:vAlign w:val="center"/>
          </w:tcPr>
          <w:p>
            <w:pPr>
              <w:widowControl/>
              <w:spacing w:line="240" w:lineRule="auto"/>
              <w:ind w:firstLine="0" w:firstLineChars="0"/>
              <w:jc w:val="center"/>
              <w:rPr>
                <w:rFonts w:ascii="黑体" w:hAnsi="黑体" w:eastAsia="黑体" w:cs="Times New Roman"/>
                <w:kern w:val="0"/>
                <w:sz w:val="20"/>
                <w:szCs w:val="20"/>
              </w:rPr>
            </w:pPr>
            <w:r>
              <w:rPr>
                <w:rFonts w:hint="eastAsia" w:ascii="黑体" w:hAnsi="黑体" w:eastAsia="黑体"/>
                <w:sz w:val="20"/>
                <w:szCs w:val="20"/>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881" w:type="pct"/>
            <w:shd w:val="clear" w:color="auto" w:fill="auto"/>
            <w:noWrap/>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olor w:val="000000"/>
                <w:sz w:val="20"/>
                <w:szCs w:val="20"/>
              </w:rPr>
              <w:t>安顺市</w:t>
            </w:r>
          </w:p>
        </w:tc>
        <w:tc>
          <w:tcPr>
            <w:tcW w:w="1847" w:type="pct"/>
            <w:vAlign w:val="center"/>
          </w:tcPr>
          <w:p>
            <w:pPr>
              <w:widowControl/>
              <w:spacing w:line="240" w:lineRule="auto"/>
              <w:ind w:firstLine="0" w:firstLineChars="0"/>
              <w:jc w:val="center"/>
              <w:rPr>
                <w:rFonts w:ascii="黑体" w:hAnsi="黑体" w:eastAsia="黑体" w:cs="Times New Roman"/>
                <w:kern w:val="0"/>
                <w:sz w:val="20"/>
                <w:szCs w:val="20"/>
              </w:rPr>
            </w:pPr>
            <w:r>
              <w:rPr>
                <w:rFonts w:hint="eastAsia" w:ascii="黑体" w:hAnsi="黑体" w:eastAsia="黑体"/>
                <w:color w:val="000000"/>
                <w:sz w:val="20"/>
                <w:szCs w:val="20"/>
              </w:rPr>
              <w:t>电池、负极材料、电解液及添加剂</w:t>
            </w:r>
          </w:p>
        </w:tc>
        <w:tc>
          <w:tcPr>
            <w:tcW w:w="1136" w:type="pct"/>
            <w:shd w:val="clear" w:color="auto" w:fill="auto"/>
            <w:vAlign w:val="center"/>
          </w:tcPr>
          <w:p>
            <w:pPr>
              <w:widowControl/>
              <w:spacing w:line="240" w:lineRule="auto"/>
              <w:ind w:firstLine="0" w:firstLineChars="0"/>
              <w:jc w:val="center"/>
              <w:rPr>
                <w:rFonts w:ascii="黑体" w:hAnsi="黑体" w:eastAsia="黑体" w:cs="Times New Roman"/>
                <w:kern w:val="0"/>
                <w:sz w:val="20"/>
                <w:szCs w:val="20"/>
              </w:rPr>
            </w:pPr>
            <w:r>
              <w:rPr>
                <w:rFonts w:hint="eastAsia" w:ascii="黑体" w:hAnsi="黑体" w:eastAsia="黑体"/>
                <w:sz w:val="20"/>
                <w:szCs w:val="20"/>
              </w:rPr>
              <w:t>100</w:t>
            </w:r>
          </w:p>
        </w:tc>
        <w:tc>
          <w:tcPr>
            <w:tcW w:w="1136" w:type="pct"/>
            <w:shd w:val="clear" w:color="auto" w:fill="auto"/>
            <w:vAlign w:val="center"/>
          </w:tcPr>
          <w:p>
            <w:pPr>
              <w:widowControl/>
              <w:spacing w:line="240" w:lineRule="auto"/>
              <w:ind w:firstLine="0" w:firstLineChars="0"/>
              <w:jc w:val="center"/>
              <w:rPr>
                <w:rFonts w:ascii="黑体" w:hAnsi="黑体" w:eastAsia="黑体" w:cs="Times New Roman"/>
                <w:kern w:val="0"/>
                <w:sz w:val="20"/>
                <w:szCs w:val="20"/>
              </w:rPr>
            </w:pPr>
            <w:r>
              <w:rPr>
                <w:rFonts w:hint="eastAsia" w:ascii="黑体" w:hAnsi="黑体" w:eastAsia="黑体"/>
                <w:sz w:val="20"/>
                <w:szCs w:val="2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881" w:type="pct"/>
            <w:shd w:val="clear" w:color="auto" w:fill="auto"/>
            <w:noWrap/>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olor w:val="000000"/>
                <w:sz w:val="20"/>
                <w:szCs w:val="20"/>
              </w:rPr>
              <w:t>黔东南</w:t>
            </w:r>
          </w:p>
        </w:tc>
        <w:tc>
          <w:tcPr>
            <w:tcW w:w="1847" w:type="pct"/>
            <w:vAlign w:val="center"/>
          </w:tcPr>
          <w:p>
            <w:pPr>
              <w:widowControl/>
              <w:spacing w:line="240" w:lineRule="auto"/>
              <w:ind w:firstLine="0" w:firstLineChars="0"/>
              <w:jc w:val="center"/>
              <w:rPr>
                <w:rFonts w:ascii="黑体" w:hAnsi="黑体" w:eastAsia="黑体"/>
                <w:sz w:val="20"/>
                <w:szCs w:val="20"/>
              </w:rPr>
            </w:pPr>
            <w:r>
              <w:rPr>
                <w:rFonts w:hint="eastAsia" w:ascii="黑体" w:hAnsi="黑体" w:eastAsia="黑体"/>
                <w:color w:val="000000"/>
                <w:sz w:val="20"/>
                <w:szCs w:val="20"/>
              </w:rPr>
              <w:t>负极材料、电解液</w:t>
            </w:r>
          </w:p>
        </w:tc>
        <w:tc>
          <w:tcPr>
            <w:tcW w:w="1136" w:type="pct"/>
            <w:shd w:val="clear" w:color="auto" w:fill="auto"/>
            <w:vAlign w:val="center"/>
          </w:tcPr>
          <w:p>
            <w:pPr>
              <w:widowControl/>
              <w:spacing w:line="240" w:lineRule="auto"/>
              <w:ind w:firstLine="0" w:firstLineChars="0"/>
              <w:jc w:val="center"/>
              <w:rPr>
                <w:rFonts w:ascii="黑体" w:hAnsi="黑体" w:eastAsia="黑体" w:cs="Times New Roman"/>
                <w:kern w:val="0"/>
                <w:sz w:val="20"/>
                <w:szCs w:val="20"/>
              </w:rPr>
            </w:pPr>
            <w:r>
              <w:rPr>
                <w:rFonts w:hint="eastAsia" w:ascii="黑体" w:hAnsi="黑体" w:eastAsia="黑体"/>
                <w:sz w:val="20"/>
                <w:szCs w:val="20"/>
              </w:rPr>
              <w:t>50</w:t>
            </w:r>
          </w:p>
        </w:tc>
        <w:tc>
          <w:tcPr>
            <w:tcW w:w="1136" w:type="pct"/>
            <w:shd w:val="clear" w:color="auto" w:fill="auto"/>
            <w:vAlign w:val="center"/>
          </w:tcPr>
          <w:p>
            <w:pPr>
              <w:widowControl/>
              <w:spacing w:line="240" w:lineRule="auto"/>
              <w:ind w:firstLine="0" w:firstLineChars="0"/>
              <w:jc w:val="center"/>
              <w:rPr>
                <w:rFonts w:ascii="黑体" w:hAnsi="黑体" w:eastAsia="黑体" w:cs="Times New Roman"/>
                <w:kern w:val="0"/>
                <w:sz w:val="20"/>
                <w:szCs w:val="20"/>
              </w:rPr>
            </w:pPr>
            <w:r>
              <w:rPr>
                <w:rFonts w:hint="eastAsia" w:ascii="黑体" w:hAnsi="黑体" w:eastAsia="黑体"/>
                <w:sz w:val="20"/>
                <w:szCs w:val="2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881" w:type="pct"/>
            <w:shd w:val="clear" w:color="auto" w:fill="auto"/>
            <w:noWrap/>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olor w:val="000000"/>
                <w:sz w:val="20"/>
                <w:szCs w:val="20"/>
              </w:rPr>
              <w:t>黔南州</w:t>
            </w:r>
          </w:p>
        </w:tc>
        <w:tc>
          <w:tcPr>
            <w:tcW w:w="1847" w:type="pct"/>
            <w:vAlign w:val="center"/>
          </w:tcPr>
          <w:p>
            <w:pPr>
              <w:widowControl/>
              <w:spacing w:line="240" w:lineRule="auto"/>
              <w:ind w:firstLine="0" w:firstLineChars="0"/>
              <w:jc w:val="center"/>
              <w:rPr>
                <w:rFonts w:ascii="黑体" w:hAnsi="黑体" w:eastAsia="黑体"/>
                <w:sz w:val="20"/>
                <w:szCs w:val="20"/>
              </w:rPr>
            </w:pPr>
            <w:r>
              <w:rPr>
                <w:rFonts w:hint="eastAsia" w:ascii="黑体" w:hAnsi="黑体" w:eastAsia="黑体"/>
                <w:color w:val="000000"/>
                <w:sz w:val="20"/>
                <w:szCs w:val="20"/>
              </w:rPr>
              <w:t>正极材料、电解液</w:t>
            </w:r>
          </w:p>
        </w:tc>
        <w:tc>
          <w:tcPr>
            <w:tcW w:w="1136" w:type="pct"/>
            <w:shd w:val="clear" w:color="auto" w:fill="auto"/>
            <w:vAlign w:val="center"/>
          </w:tcPr>
          <w:p>
            <w:pPr>
              <w:widowControl/>
              <w:spacing w:line="240" w:lineRule="auto"/>
              <w:ind w:firstLine="0" w:firstLineChars="0"/>
              <w:jc w:val="center"/>
              <w:rPr>
                <w:rFonts w:ascii="黑体" w:hAnsi="黑体" w:eastAsia="黑体" w:cs="Times New Roman"/>
                <w:kern w:val="0"/>
                <w:sz w:val="20"/>
                <w:szCs w:val="20"/>
              </w:rPr>
            </w:pPr>
            <w:r>
              <w:rPr>
                <w:rFonts w:hint="eastAsia" w:ascii="黑体" w:hAnsi="黑体" w:eastAsia="黑体"/>
                <w:sz w:val="20"/>
                <w:szCs w:val="20"/>
              </w:rPr>
              <w:t>1000</w:t>
            </w:r>
          </w:p>
        </w:tc>
        <w:tc>
          <w:tcPr>
            <w:tcW w:w="1136" w:type="pct"/>
            <w:shd w:val="clear" w:color="auto" w:fill="auto"/>
            <w:vAlign w:val="center"/>
          </w:tcPr>
          <w:p>
            <w:pPr>
              <w:widowControl/>
              <w:spacing w:line="240" w:lineRule="auto"/>
              <w:ind w:firstLine="0" w:firstLineChars="0"/>
              <w:jc w:val="center"/>
              <w:rPr>
                <w:rFonts w:ascii="黑体" w:hAnsi="黑体" w:eastAsia="黑体" w:cs="Times New Roman"/>
                <w:kern w:val="0"/>
                <w:sz w:val="20"/>
                <w:szCs w:val="20"/>
              </w:rPr>
            </w:pPr>
            <w:r>
              <w:rPr>
                <w:rFonts w:hint="eastAsia" w:ascii="黑体" w:hAnsi="黑体" w:eastAsia="黑体"/>
                <w:sz w:val="20"/>
                <w:szCs w:val="2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81" w:type="pct"/>
            <w:shd w:val="clear" w:color="auto" w:fill="DEEAF6" w:themeFill="accent5" w:themeFillTint="33"/>
            <w:noWrap/>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总计</w:t>
            </w:r>
          </w:p>
        </w:tc>
        <w:tc>
          <w:tcPr>
            <w:tcW w:w="1847" w:type="pct"/>
            <w:shd w:val="clear" w:color="auto" w:fill="DEEAF6" w:themeFill="accent5" w:themeFillTint="33"/>
            <w:vAlign w:val="center"/>
          </w:tcPr>
          <w:p>
            <w:pPr>
              <w:widowControl/>
              <w:spacing w:line="240" w:lineRule="auto"/>
              <w:ind w:firstLine="0" w:firstLineChars="0"/>
              <w:jc w:val="center"/>
              <w:rPr>
                <w:rFonts w:ascii="黑体" w:hAnsi="黑体" w:eastAsia="黑体"/>
                <w:b/>
                <w:bCs/>
                <w:sz w:val="20"/>
                <w:szCs w:val="20"/>
              </w:rPr>
            </w:pPr>
          </w:p>
        </w:tc>
        <w:tc>
          <w:tcPr>
            <w:tcW w:w="1136" w:type="pct"/>
            <w:shd w:val="clear" w:color="auto" w:fill="DEEAF6" w:themeFill="accent5" w:themeFillTint="33"/>
            <w:vAlign w:val="center"/>
          </w:tcPr>
          <w:p>
            <w:pPr>
              <w:widowControl/>
              <w:spacing w:line="240" w:lineRule="auto"/>
              <w:ind w:firstLine="0" w:firstLineChars="0"/>
              <w:jc w:val="center"/>
              <w:rPr>
                <w:rFonts w:ascii="黑体" w:hAnsi="黑体" w:eastAsia="黑体" w:cs="Times New Roman"/>
                <w:b/>
                <w:bCs/>
                <w:kern w:val="0"/>
                <w:sz w:val="20"/>
                <w:szCs w:val="20"/>
              </w:rPr>
            </w:pPr>
            <w:r>
              <w:rPr>
                <w:rFonts w:ascii="黑体" w:hAnsi="黑体" w:eastAsia="黑体"/>
                <w:b/>
                <w:bCs/>
                <w:sz w:val="20"/>
                <w:szCs w:val="20"/>
              </w:rPr>
              <w:t>5000</w:t>
            </w:r>
          </w:p>
        </w:tc>
        <w:tc>
          <w:tcPr>
            <w:tcW w:w="1136" w:type="pct"/>
            <w:shd w:val="clear" w:color="auto" w:fill="DEEAF6" w:themeFill="accent5" w:themeFillTint="33"/>
            <w:vAlign w:val="center"/>
          </w:tcPr>
          <w:p>
            <w:pPr>
              <w:widowControl/>
              <w:spacing w:line="240" w:lineRule="auto"/>
              <w:ind w:firstLine="0" w:firstLineChars="0"/>
              <w:jc w:val="center"/>
              <w:rPr>
                <w:rFonts w:ascii="黑体" w:hAnsi="黑体" w:eastAsia="黑体" w:cs="Times New Roman"/>
                <w:b/>
                <w:bCs/>
                <w:kern w:val="0"/>
                <w:sz w:val="20"/>
                <w:szCs w:val="20"/>
              </w:rPr>
            </w:pPr>
            <w:r>
              <w:rPr>
                <w:rFonts w:ascii="黑体" w:hAnsi="黑体" w:eastAsia="黑体"/>
                <w:b/>
                <w:bCs/>
                <w:sz w:val="20"/>
                <w:szCs w:val="20"/>
              </w:rPr>
              <w:t>10</w:t>
            </w:r>
            <w:r>
              <w:rPr>
                <w:rFonts w:hint="eastAsia" w:ascii="黑体" w:hAnsi="黑体" w:eastAsia="黑体"/>
                <w:b/>
                <w:bCs/>
                <w:sz w:val="20"/>
                <w:szCs w:val="20"/>
              </w:rPr>
              <w:t>000</w:t>
            </w:r>
          </w:p>
        </w:tc>
      </w:tr>
    </w:tbl>
    <w:p>
      <w:pPr>
        <w:pStyle w:val="3"/>
      </w:pPr>
      <w:bookmarkStart w:id="50" w:name="_Toc118298129"/>
      <w:r>
        <w:rPr>
          <w:rFonts w:hint="eastAsia"/>
        </w:rPr>
        <w:t>五、重点任务</w:t>
      </w:r>
      <w:bookmarkEnd w:id="50"/>
    </w:p>
    <w:p>
      <w:pPr>
        <w:ind w:firstLine="560"/>
      </w:pPr>
      <w:r>
        <w:rPr>
          <w:rFonts w:hint="eastAsia"/>
        </w:rPr>
        <w:t>立足我省新能源电池及材料产业发展基础和磷矿等资源优势，结合当前核心技术发展趋势，重点聚焦新能源电池、上游材料、电池配套、电池回收、低碳环保和智能制造等领域，同时全面分析各领域产业转移趋势重点发展方向以及产业招商路径，进一步提升产业创新能力，实现产业可持续发展。构建全省新能源电池及材料产业整体良好的产业发展环境，打造我省上中下游产业有效衔接、功能配套完善、辐射带动力强的新能源电池及材料产业体系。</w:t>
      </w:r>
    </w:p>
    <w:p>
      <w:pPr>
        <w:pStyle w:val="4"/>
        <w:ind w:left="412"/>
      </w:pPr>
      <w:bookmarkStart w:id="51" w:name="_Toc118298130"/>
      <w:r>
        <w:rPr>
          <w:rFonts w:hint="eastAsia"/>
        </w:rPr>
        <w:t>（一）重点提升新能源电池产业竞争力</w:t>
      </w:r>
      <w:bookmarkEnd w:id="51"/>
    </w:p>
    <w:p>
      <w:pPr>
        <w:ind w:firstLine="560"/>
      </w:pPr>
      <w:r>
        <w:rPr>
          <w:rFonts w:hint="eastAsia"/>
        </w:rPr>
        <w:t>以新能源汽车和储能等下游重点应用产业需求为导向，结合当前核心技术发展趋势，依托现有企业基础及资源优势，重点发展锂离子电池，加快推进现有新能源电池项目产业化落地，积极布局钠离子电池的产业化，同时拓展研发新型模块化、高性能新能源电池产品，以及锂硫电池、半固态电池、全固态电池等新型电池，做好技术储备。</w:t>
      </w:r>
    </w:p>
    <w:p>
      <w:pPr>
        <w:ind w:firstLine="562"/>
      </w:pPr>
      <w:r>
        <w:rPr>
          <w:rFonts w:hint="eastAsia"/>
          <w:b/>
          <w:bCs/>
        </w:rPr>
        <w:t>锂离子电池。</w:t>
      </w:r>
      <w:r>
        <w:rPr>
          <w:rFonts w:hint="eastAsia"/>
        </w:rPr>
        <w:t>面向新能源乘用车领域高能量密度、高安全性、高充电倍率的需求，重点发展高镍三元电池（镍钴锰622体系、811体系、9系及无钴电池）、磷酸铁锂“刀片电池”、“C</w:t>
      </w:r>
      <w:r>
        <w:t>T</w:t>
      </w:r>
      <w:r>
        <w:rPr>
          <w:rFonts w:hint="eastAsia"/>
        </w:rPr>
        <w:t>B”以及“C</w:t>
      </w:r>
      <w:r>
        <w:t>T</w:t>
      </w:r>
      <w:r>
        <w:rPr>
          <w:rFonts w:hint="eastAsia"/>
        </w:rPr>
        <w:t>C”等电池产品；面向新能源商用车和专用车高安全性、高循环寿命、低成本的需求，重点发展三元电池（5系、中镍）、磷酸铁锂电池、磷酸铁锰锂电池等产品；面向储能领域高循环寿命、低成本的需求，重点发展磷酸铁锂电池等产品；面向消费领域小型化的需求，重点发展圆柱、软包等小电池以及钴酸锂、锰酸锂、三元材料体系。</w:t>
      </w:r>
    </w:p>
    <w:p>
      <w:pPr>
        <w:ind w:firstLine="562"/>
      </w:pPr>
      <w:r>
        <w:rPr>
          <w:rFonts w:hint="eastAsia"/>
          <w:b/>
          <w:bCs/>
        </w:rPr>
        <w:t>钠离子电池。</w:t>
      </w:r>
      <w:r>
        <w:rPr>
          <w:rFonts w:hint="eastAsia"/>
        </w:rPr>
        <w:t>将钠离子电池作为锂离子电池的补充，面向储能和低速电动车等150</w:t>
      </w:r>
      <w:r>
        <w:t>Wh</w:t>
      </w:r>
      <w:r>
        <w:rPr>
          <w:rFonts w:hint="eastAsia"/>
        </w:rPr>
        <w:t>/</w:t>
      </w:r>
      <w:r>
        <w:t>kg</w:t>
      </w:r>
      <w:r>
        <w:rPr>
          <w:rFonts w:hint="eastAsia"/>
        </w:rPr>
        <w:t>以下应用场景对于低成本和高循环寿命的需求，积极布局钠硫电池、钠盐电池、钠空气电池、水系钠离子电池等钠离子电池体系，推进钠离子电池在2023年实现产业化落地，鼓励企业进行钠离子电池补钠、钠离子电池及制备以及“钠-锂混合”电池等关键技术的研究和推进钠离子电池产业化和商业化应用。</w:t>
      </w:r>
    </w:p>
    <w:p>
      <w:pPr>
        <w:spacing w:after="120" w:afterLines="50"/>
        <w:ind w:firstLine="562"/>
      </w:pPr>
      <w:r>
        <w:rPr>
          <w:rFonts w:hint="eastAsia"/>
          <w:b/>
          <w:bCs/>
        </w:rPr>
        <w:t>新型电池。</w:t>
      </w:r>
      <w:r>
        <w:rPr>
          <w:rFonts w:hint="eastAsia"/>
        </w:rPr>
        <w:t>加大新型材料的应用，依托现有企业、高校及研发平台，前瞻性地进行燃料电池、金属空气电池、锂硫电池、固态电池、铝离子电池、全钒电池、锌离子电池、钛电池等新体系电池技术的研发突破，力争2025年实现单体400Wh/kg、系统280Wh/kg的新型锂离子产品产业化和整车应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3" w:type="dxa"/>
          <w:left w:w="113" w:type="dxa"/>
          <w:bottom w:w="28" w:type="dxa"/>
          <w:right w:w="113" w:type="dxa"/>
        </w:tblCellMar>
      </w:tblPr>
      <w:tblGrid>
        <w:gridCol w:w="1711"/>
        <w:gridCol w:w="7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624" w:hRule="atLeast"/>
        </w:trPr>
        <w:tc>
          <w:tcPr>
            <w:tcW w:w="8834" w:type="dxa"/>
            <w:gridSpan w:val="2"/>
            <w:tcMar>
              <w:top w:w="113" w:type="dxa"/>
              <w:left w:w="113" w:type="dxa"/>
              <w:right w:w="113" w:type="dxa"/>
            </w:tcMar>
            <w:vAlign w:val="center"/>
          </w:tcPr>
          <w:p>
            <w:pPr>
              <w:spacing w:line="240" w:lineRule="auto"/>
              <w:ind w:firstLine="0" w:firstLineChars="0"/>
              <w:contextualSpacing/>
              <w:jc w:val="center"/>
              <w:rPr>
                <w:rFonts w:ascii="仿宋_GB2312" w:hAnsi="仿宋"/>
                <w:sz w:val="24"/>
                <w:szCs w:val="24"/>
              </w:rPr>
            </w:pPr>
            <w:r>
              <w:rPr>
                <w:rFonts w:hint="eastAsia" w:ascii="仿宋_GB2312" w:hAnsi="仿宋"/>
                <w:b/>
                <w:bCs/>
                <w:sz w:val="24"/>
                <w:szCs w:val="24"/>
              </w:rPr>
              <w:t>专栏 1-1 ：新能源电池产业发展重点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573" w:hRule="atLeast"/>
        </w:trPr>
        <w:tc>
          <w:tcPr>
            <w:tcW w:w="1711" w:type="dxa"/>
            <w:tcMar>
              <w:top w:w="113" w:type="dxa"/>
              <w:left w:w="113" w:type="dxa"/>
              <w:right w:w="113" w:type="dxa"/>
            </w:tcMar>
            <w:vAlign w:val="center"/>
          </w:tcPr>
          <w:p>
            <w:pPr>
              <w:spacing w:line="240" w:lineRule="auto"/>
              <w:ind w:firstLine="0" w:firstLineChars="0"/>
              <w:jc w:val="center"/>
              <w:rPr>
                <w:rFonts w:ascii="仿宋_GB2312" w:hAnsi="仿宋"/>
                <w:b/>
                <w:bCs/>
                <w:sz w:val="24"/>
                <w:szCs w:val="24"/>
              </w:rPr>
            </w:pPr>
            <w:r>
              <w:rPr>
                <w:rFonts w:hint="eastAsia" w:ascii="仿宋_GB2312" w:hAnsi="仿宋"/>
                <w:b/>
                <w:bCs/>
                <w:sz w:val="24"/>
                <w:szCs w:val="24"/>
              </w:rPr>
              <w:t>重点方向</w:t>
            </w:r>
          </w:p>
        </w:tc>
        <w:tc>
          <w:tcPr>
            <w:tcW w:w="7123" w:type="dxa"/>
            <w:tcMar>
              <w:top w:w="113" w:type="dxa"/>
              <w:left w:w="113" w:type="dxa"/>
              <w:right w:w="113" w:type="dxa"/>
            </w:tcMar>
            <w:vAlign w:val="center"/>
          </w:tcPr>
          <w:p>
            <w:pPr>
              <w:ind w:firstLine="0" w:firstLineChars="0"/>
              <w:contextualSpacing/>
              <w:rPr>
                <w:rFonts w:ascii="仿宋_GB2312" w:hAnsi="仿宋"/>
                <w:sz w:val="24"/>
                <w:szCs w:val="24"/>
              </w:rPr>
            </w:pPr>
            <w:r>
              <w:rPr>
                <w:rFonts w:hint="eastAsia" w:ascii="仿宋_GB2312" w:hAnsi="仿宋"/>
                <w:sz w:val="24"/>
                <w:szCs w:val="24"/>
              </w:rPr>
              <w:t>重点发展锂电池，积极布局钠离子电池，前沿储备燃料电池等新型电池技术。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566" w:hRule="atLeast"/>
        </w:trPr>
        <w:tc>
          <w:tcPr>
            <w:tcW w:w="1711" w:type="dxa"/>
            <w:tcMar>
              <w:top w:w="113" w:type="dxa"/>
              <w:left w:w="113" w:type="dxa"/>
              <w:right w:w="113" w:type="dxa"/>
            </w:tcMar>
            <w:vAlign w:val="center"/>
          </w:tcPr>
          <w:p>
            <w:pPr>
              <w:spacing w:line="240" w:lineRule="auto"/>
              <w:ind w:firstLine="0" w:firstLineChars="0"/>
              <w:jc w:val="center"/>
              <w:rPr>
                <w:rFonts w:ascii="仿宋_GB2312" w:hAnsi="仿宋"/>
                <w:b/>
                <w:bCs/>
                <w:sz w:val="24"/>
                <w:szCs w:val="24"/>
              </w:rPr>
            </w:pPr>
            <w:r>
              <w:rPr>
                <w:rFonts w:hint="eastAsia" w:ascii="仿宋_GB2312" w:hAnsi="仿宋"/>
                <w:b/>
                <w:bCs/>
                <w:sz w:val="24"/>
                <w:szCs w:val="24"/>
              </w:rPr>
              <w:t>重点区域</w:t>
            </w:r>
          </w:p>
        </w:tc>
        <w:tc>
          <w:tcPr>
            <w:tcW w:w="7123" w:type="dxa"/>
            <w:tcMar>
              <w:top w:w="113" w:type="dxa"/>
              <w:left w:w="113" w:type="dxa"/>
              <w:right w:w="113" w:type="dxa"/>
            </w:tcMar>
            <w:vAlign w:val="center"/>
          </w:tcPr>
          <w:p>
            <w:pPr>
              <w:snapToGrid w:val="0"/>
              <w:spacing w:before="240" w:beforeLines="100" w:after="240" w:afterLines="100" w:line="240" w:lineRule="auto"/>
              <w:ind w:firstLine="0" w:firstLineChars="0"/>
              <w:contextualSpacing/>
              <w:rPr>
                <w:rFonts w:ascii="仿宋_GB2312" w:hAnsi="仿宋"/>
                <w:sz w:val="24"/>
                <w:szCs w:val="24"/>
              </w:rPr>
            </w:pPr>
            <w:r>
              <w:rPr>
                <w:rFonts w:hint="eastAsia" w:ascii="仿宋_GB2312" w:hAnsi="仿宋"/>
                <w:sz w:val="24"/>
                <w:szCs w:val="24"/>
              </w:rPr>
              <w:t>贵阳贵安、安顺、毕节、六盘水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1448" w:hRule="atLeast"/>
        </w:trPr>
        <w:tc>
          <w:tcPr>
            <w:tcW w:w="1711" w:type="dxa"/>
            <w:tcMar>
              <w:top w:w="113" w:type="dxa"/>
              <w:left w:w="113" w:type="dxa"/>
              <w:right w:w="113" w:type="dxa"/>
            </w:tcMar>
            <w:vAlign w:val="center"/>
          </w:tcPr>
          <w:p>
            <w:pPr>
              <w:spacing w:line="240" w:lineRule="auto"/>
              <w:ind w:firstLine="0" w:firstLineChars="0"/>
              <w:jc w:val="center"/>
              <w:rPr>
                <w:rFonts w:ascii="仿宋_GB2312" w:hAnsi="仿宋"/>
                <w:b/>
                <w:bCs/>
                <w:sz w:val="24"/>
                <w:szCs w:val="24"/>
              </w:rPr>
            </w:pPr>
            <w:r>
              <w:rPr>
                <w:rFonts w:hint="eastAsia" w:ascii="仿宋_GB2312" w:hAnsi="仿宋"/>
                <w:b/>
                <w:bCs/>
                <w:sz w:val="24"/>
                <w:szCs w:val="24"/>
              </w:rPr>
              <w:t>重点企业</w:t>
            </w:r>
          </w:p>
        </w:tc>
        <w:tc>
          <w:tcPr>
            <w:tcW w:w="7123" w:type="dxa"/>
            <w:tcMar>
              <w:top w:w="113" w:type="dxa"/>
              <w:left w:w="113" w:type="dxa"/>
              <w:right w:w="113" w:type="dxa"/>
            </w:tcMar>
            <w:vAlign w:val="center"/>
          </w:tcPr>
          <w:p>
            <w:pPr>
              <w:ind w:firstLine="480"/>
              <w:contextualSpacing/>
              <w:rPr>
                <w:rFonts w:ascii="仿宋_GB2312" w:hAnsi="仿宋"/>
                <w:sz w:val="24"/>
                <w:szCs w:val="24"/>
              </w:rPr>
            </w:pPr>
            <w:r>
              <w:rPr>
                <w:rFonts w:hint="eastAsia" w:ascii="仿宋_GB2312" w:hAnsi="仿宋"/>
                <w:sz w:val="24"/>
                <w:szCs w:val="24"/>
              </w:rPr>
              <w:t>宁德时代(贵州)新能源科技有限公司、贵阳弗迪电池有限公司、贵州锂先生电子科技有限公司、贵州贵航新能源科技有限公司、贵州梅岭电源有限公司、贵州巨能科技新能源有限公司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1091" w:hRule="atLeast"/>
        </w:trPr>
        <w:tc>
          <w:tcPr>
            <w:tcW w:w="1711" w:type="dxa"/>
            <w:tcMar>
              <w:top w:w="113" w:type="dxa"/>
              <w:left w:w="113" w:type="dxa"/>
              <w:right w:w="113" w:type="dxa"/>
            </w:tcMar>
            <w:vAlign w:val="center"/>
          </w:tcPr>
          <w:p>
            <w:pPr>
              <w:spacing w:line="240" w:lineRule="auto"/>
              <w:ind w:firstLine="0" w:firstLineChars="0"/>
              <w:jc w:val="center"/>
              <w:rPr>
                <w:rFonts w:ascii="仿宋_GB2312" w:hAnsi="仿宋"/>
                <w:b/>
                <w:bCs/>
                <w:sz w:val="24"/>
                <w:szCs w:val="24"/>
              </w:rPr>
            </w:pPr>
            <w:r>
              <w:rPr>
                <w:rFonts w:hint="eastAsia" w:ascii="仿宋_GB2312" w:hAnsi="仿宋"/>
                <w:b/>
                <w:bCs/>
                <w:sz w:val="24"/>
                <w:szCs w:val="24"/>
              </w:rPr>
              <w:t>发展途径</w:t>
            </w:r>
          </w:p>
        </w:tc>
        <w:tc>
          <w:tcPr>
            <w:tcW w:w="7123" w:type="dxa"/>
            <w:tcMar>
              <w:top w:w="113" w:type="dxa"/>
              <w:left w:w="113" w:type="dxa"/>
              <w:right w:w="113" w:type="dxa"/>
            </w:tcMar>
            <w:vAlign w:val="center"/>
          </w:tcPr>
          <w:p>
            <w:pPr>
              <w:ind w:firstLine="482"/>
              <w:contextualSpacing/>
              <w:rPr>
                <w:rFonts w:ascii="仿宋_GB2312" w:hAnsi="仿宋"/>
                <w:sz w:val="24"/>
                <w:szCs w:val="24"/>
              </w:rPr>
            </w:pPr>
            <w:r>
              <w:rPr>
                <w:rFonts w:hint="eastAsia" w:ascii="仿宋_GB2312" w:hAnsi="仿宋"/>
                <w:b/>
                <w:bCs/>
                <w:sz w:val="24"/>
                <w:szCs w:val="24"/>
              </w:rPr>
              <w:t>锂离子电池。</w:t>
            </w:r>
            <w:r>
              <w:rPr>
                <w:rFonts w:hint="eastAsia" w:ascii="仿宋_GB2312" w:hAnsi="仿宋"/>
                <w:sz w:val="24"/>
                <w:szCs w:val="24"/>
              </w:rPr>
              <w:t>以宁德时代和比亚迪两大龙头为依托，同时布局“三元”和“磷酸铁锂”两条路线。在三元电池方面，重点突破高镍（622、811、9系）和无钴产品；在磷酸铁锂方面，以比亚迪“刀片电池”技术为主。</w:t>
            </w:r>
          </w:p>
          <w:p>
            <w:pPr>
              <w:ind w:firstLine="482"/>
              <w:contextualSpacing/>
              <w:rPr>
                <w:rFonts w:ascii="仿宋_GB2312" w:hAnsi="仿宋"/>
                <w:sz w:val="24"/>
                <w:szCs w:val="24"/>
              </w:rPr>
            </w:pPr>
            <w:r>
              <w:rPr>
                <w:rFonts w:hint="eastAsia" w:ascii="仿宋_GB2312" w:hAnsi="仿宋"/>
                <w:b/>
                <w:bCs/>
                <w:sz w:val="24"/>
                <w:szCs w:val="24"/>
              </w:rPr>
              <w:t>钠离子电池。</w:t>
            </w:r>
            <w:r>
              <w:rPr>
                <w:rFonts w:hint="eastAsia" w:ascii="仿宋_GB2312" w:hAnsi="仿宋"/>
                <w:sz w:val="24"/>
                <w:szCs w:val="24"/>
              </w:rPr>
              <w:t>依托宁德时代钠离子电池的研发基础，推进其在我省落地钠离子电池相关项目，带动本地钠离子电池上下游产业链的布局和建立。</w:t>
            </w:r>
          </w:p>
          <w:p>
            <w:pPr>
              <w:pStyle w:val="2"/>
              <w:ind w:firstLine="482"/>
              <w:rPr>
                <w:rFonts w:ascii="仿宋_GB2312" w:hAnsi="仿宋"/>
                <w:sz w:val="24"/>
                <w:szCs w:val="24"/>
              </w:rPr>
            </w:pPr>
            <w:r>
              <w:rPr>
                <w:rFonts w:hint="eastAsia" w:ascii="仿宋_GB2312" w:hAnsi="仿宋"/>
                <w:b/>
                <w:bCs/>
                <w:sz w:val="24"/>
                <w:szCs w:val="24"/>
              </w:rPr>
              <w:t>燃料电池：</w:t>
            </w:r>
            <w:r>
              <w:rPr>
                <w:rFonts w:hint="eastAsia" w:ascii="仿宋_GB2312" w:hAnsi="仿宋"/>
                <w:sz w:val="24"/>
                <w:szCs w:val="24"/>
              </w:rPr>
              <w:t>依托六盘水市厚实的焦化产业基础，利用丰富低成本的煤焦化产业副产氢资源，通过六盘水市能源领域广阔的氢燃料电池重卡汽车应用场景，带动氢燃料电池及上下游产业链的布局和建立。</w:t>
            </w:r>
          </w:p>
          <w:p>
            <w:pPr>
              <w:ind w:firstLine="482"/>
              <w:contextualSpacing/>
              <w:rPr>
                <w:rFonts w:ascii="仿宋_GB2312" w:hAnsi="仿宋"/>
                <w:b/>
                <w:bCs/>
                <w:sz w:val="24"/>
                <w:szCs w:val="24"/>
              </w:rPr>
            </w:pPr>
            <w:r>
              <w:rPr>
                <w:rFonts w:hint="eastAsia" w:ascii="仿宋_GB2312" w:hAnsi="仿宋"/>
                <w:b/>
                <w:bCs/>
                <w:sz w:val="24"/>
                <w:szCs w:val="24"/>
              </w:rPr>
              <w:t>其他新型电池。</w:t>
            </w:r>
            <w:r>
              <w:rPr>
                <w:rFonts w:hint="eastAsia" w:ascii="仿宋_GB2312" w:hAnsi="仿宋"/>
                <w:sz w:val="24"/>
                <w:szCs w:val="24"/>
              </w:rPr>
              <w:t>依托宁德时代、贵航、梅岭电源等具备较强研发实力的企业、全国高等院校以及其他研发平台，重点开展燃料电池新型电池的研发和技术储备。</w:t>
            </w:r>
          </w:p>
        </w:tc>
      </w:tr>
    </w:tbl>
    <w:p>
      <w:pPr>
        <w:ind w:firstLine="560"/>
      </w:pPr>
      <w:bookmarkStart w:id="52" w:name="_Toc118298131"/>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11"/>
        <w:gridCol w:w="7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trPr>
        <w:tc>
          <w:tcPr>
            <w:tcW w:w="8834" w:type="dxa"/>
            <w:gridSpan w:val="2"/>
            <w:tcMar>
              <w:top w:w="113" w:type="dxa"/>
              <w:left w:w="113" w:type="dxa"/>
              <w:bottom w:w="57" w:type="dxa"/>
              <w:right w:w="113" w:type="dxa"/>
            </w:tcMar>
            <w:vAlign w:val="center"/>
          </w:tcPr>
          <w:p>
            <w:pPr>
              <w:spacing w:line="240" w:lineRule="auto"/>
              <w:ind w:firstLine="0" w:firstLineChars="0"/>
              <w:contextualSpacing/>
              <w:jc w:val="center"/>
              <w:rPr>
                <w:rFonts w:ascii="仿宋_GB2312" w:hAnsi="仿宋"/>
                <w:b/>
                <w:bCs/>
                <w:sz w:val="24"/>
                <w:szCs w:val="24"/>
              </w:rPr>
            </w:pPr>
            <w:r>
              <w:rPr>
                <w:rFonts w:hint="eastAsia" w:ascii="仿宋_GB2312" w:hAnsi="仿宋"/>
                <w:b/>
                <w:bCs/>
                <w:sz w:val="24"/>
                <w:szCs w:val="24"/>
              </w:rPr>
              <w:t>招商专栏 1-2 ：新能源电池产业招商路径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2" w:hRule="atLeast"/>
        </w:trPr>
        <w:tc>
          <w:tcPr>
            <w:tcW w:w="1711" w:type="dxa"/>
            <w:tcMar>
              <w:top w:w="113" w:type="dxa"/>
              <w:left w:w="113" w:type="dxa"/>
              <w:bottom w:w="57" w:type="dxa"/>
              <w:right w:w="113" w:type="dxa"/>
            </w:tcMar>
            <w:vAlign w:val="center"/>
          </w:tcPr>
          <w:p>
            <w:pPr>
              <w:ind w:firstLine="0" w:firstLineChars="0"/>
              <w:contextualSpacing/>
              <w:jc w:val="center"/>
              <w:rPr>
                <w:rFonts w:ascii="仿宋_GB2312" w:hAnsi="仿宋"/>
                <w:b/>
                <w:bCs/>
                <w:sz w:val="24"/>
                <w:szCs w:val="24"/>
              </w:rPr>
            </w:pPr>
            <w:r>
              <w:rPr>
                <w:rFonts w:hint="eastAsia" w:ascii="仿宋_GB2312" w:hAnsi="仿宋"/>
                <w:b/>
                <w:bCs/>
                <w:sz w:val="24"/>
                <w:szCs w:val="24"/>
              </w:rPr>
              <w:t>重点方向</w:t>
            </w:r>
          </w:p>
        </w:tc>
        <w:tc>
          <w:tcPr>
            <w:tcW w:w="7123" w:type="dxa"/>
            <w:tcMar>
              <w:top w:w="113" w:type="dxa"/>
              <w:left w:w="113" w:type="dxa"/>
              <w:bottom w:w="57" w:type="dxa"/>
              <w:right w:w="113" w:type="dxa"/>
            </w:tcMar>
            <w:vAlign w:val="center"/>
          </w:tcPr>
          <w:p>
            <w:pPr>
              <w:ind w:firstLine="480"/>
              <w:contextualSpacing/>
              <w:rPr>
                <w:rFonts w:ascii="仿宋_GB2312" w:hAnsi="仿宋"/>
                <w:sz w:val="24"/>
                <w:szCs w:val="24"/>
              </w:rPr>
            </w:pPr>
            <w:r>
              <w:rPr>
                <w:rFonts w:hint="eastAsia" w:ascii="仿宋_GB2312" w:hAnsi="仿宋"/>
                <w:sz w:val="24"/>
                <w:szCs w:val="24"/>
              </w:rPr>
              <w:t>继续招引新能源电池企业，从而形成规模性的产业布局和产业集聚。重点招引钠离子电池、燃料电池、固态电池等新型电池相关企业，在下一代电池优先布局，从而抢占市场先机。除此之外，在新型电池领域可以提前招引具备相关研究成果的研究机构、取得重大技术突破的企业以及和贵州省大学进行合作研发，做好技术储备和产业化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9" w:hRule="atLeast"/>
        </w:trPr>
        <w:tc>
          <w:tcPr>
            <w:tcW w:w="1711" w:type="dxa"/>
            <w:tcMar>
              <w:top w:w="113" w:type="dxa"/>
              <w:left w:w="113" w:type="dxa"/>
              <w:bottom w:w="57" w:type="dxa"/>
              <w:right w:w="113" w:type="dxa"/>
            </w:tcMar>
            <w:vAlign w:val="center"/>
          </w:tcPr>
          <w:p>
            <w:pPr>
              <w:ind w:firstLine="0" w:firstLineChars="0"/>
              <w:contextualSpacing/>
              <w:jc w:val="center"/>
              <w:rPr>
                <w:rFonts w:ascii="仿宋_GB2312" w:hAnsi="仿宋"/>
                <w:b/>
                <w:bCs/>
                <w:sz w:val="24"/>
                <w:szCs w:val="24"/>
              </w:rPr>
            </w:pPr>
            <w:r>
              <w:rPr>
                <w:rFonts w:hint="eastAsia" w:ascii="仿宋_GB2312" w:hAnsi="仿宋"/>
                <w:b/>
                <w:bCs/>
                <w:sz w:val="24"/>
                <w:szCs w:val="24"/>
              </w:rPr>
              <w:t>潜在招商企业</w:t>
            </w:r>
          </w:p>
        </w:tc>
        <w:tc>
          <w:tcPr>
            <w:tcW w:w="7123" w:type="dxa"/>
            <w:tcMar>
              <w:top w:w="113" w:type="dxa"/>
              <w:left w:w="113" w:type="dxa"/>
              <w:bottom w:w="57" w:type="dxa"/>
              <w:right w:w="113" w:type="dxa"/>
            </w:tcMar>
            <w:vAlign w:val="center"/>
          </w:tcPr>
          <w:p>
            <w:pPr>
              <w:ind w:firstLine="482"/>
              <w:contextualSpacing/>
              <w:rPr>
                <w:rFonts w:ascii="仿宋_GB2312" w:hAnsi="仿宋"/>
                <w:sz w:val="24"/>
                <w:szCs w:val="24"/>
              </w:rPr>
            </w:pPr>
            <w:r>
              <w:rPr>
                <w:rFonts w:hint="eastAsia" w:ascii="仿宋_GB2312" w:hAnsi="仿宋"/>
                <w:b/>
                <w:bCs/>
                <w:sz w:val="24"/>
                <w:szCs w:val="24"/>
              </w:rPr>
              <w:t>锂离子电池：</w:t>
            </w:r>
            <w:r>
              <w:rPr>
                <w:rFonts w:hint="eastAsia" w:ascii="仿宋_GB2312" w:hAnsi="仿宋"/>
                <w:sz w:val="24"/>
                <w:szCs w:val="24"/>
              </w:rPr>
              <w:t>亿纬锂能、中创新航、国轩高科、蜂巢能源、欣旺达、孚能科技、瑞浦兰均、塔菲尔等</w:t>
            </w:r>
          </w:p>
          <w:p>
            <w:pPr>
              <w:ind w:firstLine="482"/>
              <w:contextualSpacing/>
              <w:rPr>
                <w:rFonts w:ascii="仿宋_GB2312" w:hAnsi="仿宋"/>
                <w:sz w:val="24"/>
                <w:szCs w:val="24"/>
              </w:rPr>
            </w:pPr>
            <w:r>
              <w:rPr>
                <w:rFonts w:hint="eastAsia" w:ascii="仿宋_GB2312" w:hAnsi="仿宋"/>
                <w:b/>
                <w:bCs/>
                <w:sz w:val="24"/>
                <w:szCs w:val="24"/>
              </w:rPr>
              <w:t>钠离子电池：</w:t>
            </w:r>
            <w:r>
              <w:rPr>
                <w:rFonts w:hint="eastAsia" w:ascii="仿宋_GB2312" w:hAnsi="仿宋"/>
                <w:sz w:val="24"/>
                <w:szCs w:val="24"/>
              </w:rPr>
              <w:t>宁德时代（钠离子电池产能）、中科海纳、传艺科技、钠创新能源、多氟多等</w:t>
            </w:r>
          </w:p>
          <w:p>
            <w:pPr>
              <w:ind w:firstLine="482"/>
              <w:contextualSpacing/>
              <w:rPr>
                <w:rFonts w:ascii="仿宋_GB2312" w:hAnsi="仿宋"/>
                <w:sz w:val="24"/>
                <w:szCs w:val="24"/>
              </w:rPr>
            </w:pPr>
            <w:r>
              <w:rPr>
                <w:rFonts w:hint="eastAsia" w:ascii="仿宋_GB2312" w:hAnsi="仿宋"/>
                <w:b/>
                <w:bCs/>
                <w:sz w:val="24"/>
                <w:szCs w:val="24"/>
              </w:rPr>
              <w:t>燃料电池：</w:t>
            </w:r>
            <w:r>
              <w:rPr>
                <w:rFonts w:hint="eastAsia" w:ascii="仿宋_GB2312" w:hAnsi="仿宋"/>
                <w:sz w:val="24"/>
                <w:szCs w:val="24"/>
              </w:rPr>
              <w:t>美锦能源、雄韬股份、亿华通、新源动力、国鸿氢能、潍柴动力、上海重塑、南都电源、科力远等</w:t>
            </w:r>
          </w:p>
          <w:p>
            <w:pPr>
              <w:ind w:firstLine="482"/>
              <w:contextualSpacing/>
              <w:rPr>
                <w:rFonts w:ascii="仿宋_GB2312" w:hAnsi="仿宋"/>
                <w:sz w:val="24"/>
                <w:szCs w:val="24"/>
              </w:rPr>
            </w:pPr>
            <w:r>
              <w:rPr>
                <w:rFonts w:hint="eastAsia" w:ascii="仿宋_GB2312" w:hAnsi="仿宋"/>
                <w:b/>
                <w:bCs/>
                <w:sz w:val="24"/>
                <w:szCs w:val="24"/>
              </w:rPr>
              <w:t>固态电池：</w:t>
            </w:r>
            <w:r>
              <w:rPr>
                <w:rFonts w:hint="eastAsia" w:ascii="仿宋_GB2312" w:hAnsi="仿宋"/>
                <w:sz w:val="24"/>
                <w:szCs w:val="24"/>
              </w:rPr>
              <w:t>宁德时代（固态电池产能）、孚能科技、国轩高科、北京卫蓝、清陶能源、赣锋锂电、辉能科技、北汽蓝谷等</w:t>
            </w:r>
          </w:p>
          <w:p>
            <w:pPr>
              <w:ind w:firstLine="482"/>
              <w:contextualSpacing/>
              <w:rPr>
                <w:rFonts w:ascii="仿宋_GB2312" w:hAnsi="仿宋"/>
                <w:sz w:val="24"/>
                <w:szCs w:val="24"/>
              </w:rPr>
            </w:pPr>
            <w:r>
              <w:rPr>
                <w:rFonts w:hint="eastAsia" w:ascii="仿宋_GB2312" w:hAnsi="仿宋"/>
                <w:b/>
                <w:bCs/>
                <w:sz w:val="24"/>
                <w:szCs w:val="24"/>
              </w:rPr>
              <w:t>新型电池：</w:t>
            </w:r>
            <w:r>
              <w:rPr>
                <w:rFonts w:hint="eastAsia" w:ascii="仿宋_GB2312" w:hAnsi="仿宋"/>
                <w:sz w:val="24"/>
                <w:szCs w:val="24"/>
              </w:rPr>
              <w:t>贵州省大学合作研发</w:t>
            </w:r>
          </w:p>
        </w:tc>
      </w:tr>
    </w:tbl>
    <w:p>
      <w:pPr>
        <w:pStyle w:val="4"/>
        <w:spacing w:before="480"/>
        <w:ind w:left="412"/>
      </w:pPr>
      <w:r>
        <w:rPr>
          <w:rFonts w:hint="eastAsia"/>
        </w:rPr>
        <w:t>（二）重点完善上游电池材料产业链</w:t>
      </w:r>
      <w:bookmarkEnd w:id="52"/>
    </w:p>
    <w:p>
      <w:pPr>
        <w:ind w:firstLine="560"/>
      </w:pPr>
      <w:r>
        <w:rPr>
          <w:rFonts w:hint="eastAsia"/>
        </w:rPr>
        <w:t>以本地矿产资源为基础，注重因地制宜，优先推动磷、锰、铝、萤石矿等与新能源电池及材料相关的矿产资源就近开发利用，促进上游矿产资源与下游材料及电池等多种产业协同发展。以新能源电池龙头企业为依托，按照“建链、强链、补链、延链”原则，扶持壮大正极材料产业，引导负极、隔膜、电解液等新能源电池关键材料企业向我省聚集，开展矿产开发、正负极材料、电解液、隔膜等关键核心技术研究，实现全省新能源材料产品规模化发展。</w:t>
      </w:r>
    </w:p>
    <w:p>
      <w:pPr>
        <w:ind w:firstLine="562"/>
      </w:pPr>
      <w:r>
        <w:rPr>
          <w:rFonts w:hint="eastAsia"/>
          <w:b/>
          <w:bCs/>
        </w:rPr>
        <w:t>矿产资源开发利用。</w:t>
      </w:r>
      <w:r>
        <w:rPr>
          <w:rFonts w:hint="eastAsia"/>
        </w:rPr>
        <w:t>以下游新能源电池需求为导向，以本地资源为基础，重点发展磷、锰、铝、氟等相关电池材料；积极探索、开发和突破黏土型锂矿的开采技术，实现开采经济性；在煤化工产业重点研究煤系针状焦及其负极材料的产业化应用。打造矿产资源“矿物开采—矿物冶炼—初加工—深加工—行业应用—废渣综合利用”的绿色综合发展产业体系。</w:t>
      </w:r>
    </w:p>
    <w:p>
      <w:pPr>
        <w:pStyle w:val="40"/>
        <w:numPr>
          <w:ilvl w:val="0"/>
          <w:numId w:val="1"/>
        </w:numPr>
        <w:ind w:firstLineChars="0"/>
      </w:pPr>
      <w:r>
        <w:rPr>
          <w:rFonts w:hint="eastAsia"/>
          <w:b/>
          <w:bCs/>
        </w:rPr>
        <w:t>磷矿：</w:t>
      </w:r>
      <w:r>
        <w:rPr>
          <w:rFonts w:hint="eastAsia"/>
        </w:rPr>
        <w:t>依托我省磷矿资源以及磷化工、氟化工产业基础优势，重点布局发展磷酸铁前驱体以及磷酸铁锂、磷酸铁锰锂、六氟磷酸锂等材料。针对磷化工的副产物磷石膏，重点引进磷石膏综合利用企业，解决磷石膏完全利用问题，促进循环经济实现磷化工的可持续发展。</w:t>
      </w:r>
    </w:p>
    <w:p>
      <w:pPr>
        <w:pStyle w:val="40"/>
        <w:numPr>
          <w:ilvl w:val="0"/>
          <w:numId w:val="1"/>
        </w:numPr>
        <w:ind w:firstLineChars="0"/>
      </w:pPr>
      <w:r>
        <w:rPr>
          <w:rFonts w:hint="eastAsia"/>
          <w:b/>
          <w:bCs/>
        </w:rPr>
        <w:t>铝矿：</w:t>
      </w:r>
      <w:r>
        <w:rPr>
          <w:rFonts w:hint="eastAsia"/>
        </w:rPr>
        <w:t>重点延伸铝产品下游精深加工产业链，提升产品附加值，在新能源电池材料方面，重点发展电池铝箔，用于锂离子电池正极集流体和钠离子电池的正负集流体，积极拓展电池壳体等汽车轻量化材料。</w:t>
      </w:r>
    </w:p>
    <w:p>
      <w:pPr>
        <w:pStyle w:val="40"/>
        <w:numPr>
          <w:ilvl w:val="0"/>
          <w:numId w:val="1"/>
        </w:numPr>
        <w:ind w:firstLineChars="0"/>
      </w:pPr>
      <w:r>
        <w:rPr>
          <w:rFonts w:hint="eastAsia"/>
          <w:b/>
          <w:bCs/>
        </w:rPr>
        <w:t>锰矿：</w:t>
      </w:r>
      <w:r>
        <w:rPr>
          <w:rFonts w:hint="eastAsia"/>
        </w:rPr>
        <w:t>围绕新能源电池及材料产业对锰系新材料的需求，重点发展二氧化锰、锰酸锂、镍钴锰酸锂、高纯硫酸锰、四氧化三锰等产品，打造贵州省锰系材料产业集群；重点突破低品位锰矿及氧化锰矿的提取技术。</w:t>
      </w:r>
    </w:p>
    <w:p>
      <w:pPr>
        <w:pStyle w:val="40"/>
        <w:numPr>
          <w:ilvl w:val="0"/>
          <w:numId w:val="1"/>
        </w:numPr>
        <w:ind w:firstLineChars="0"/>
      </w:pPr>
      <w:r>
        <w:rPr>
          <w:rFonts w:hint="eastAsia"/>
          <w:b/>
          <w:bCs/>
        </w:rPr>
        <w:t>煤化工：</w:t>
      </w:r>
      <w:r>
        <w:rPr>
          <w:rFonts w:hint="eastAsia"/>
        </w:rPr>
        <w:t>依托我省在煤制合成氨、甲醇、煤焦化等传统煤化工，以及煤制乙二醇、煤焦油深加工、煤制烯烃等现代煤化工方面的产业基础和发展优势；重点研发和推进“煤焦油—针状焦—负极材料”产业体系；依托煤化工资源推进煤制氢产业发展。</w:t>
      </w:r>
    </w:p>
    <w:p>
      <w:pPr>
        <w:pStyle w:val="40"/>
        <w:numPr>
          <w:ilvl w:val="0"/>
          <w:numId w:val="1"/>
        </w:numPr>
        <w:ind w:firstLineChars="0"/>
      </w:pPr>
      <w:r>
        <w:rPr>
          <w:rFonts w:hint="eastAsia"/>
          <w:b/>
          <w:bCs/>
        </w:rPr>
        <w:t>氟资源：</w:t>
      </w:r>
      <w:r>
        <w:rPr>
          <w:rFonts w:hint="eastAsia"/>
        </w:rPr>
        <w:t>依托我省萤石矿资源以及磷矿伴生氟资源，重点发展六氟磷酸锂、六氟磷酸钠、双氟磺酰亚胺锂、</w:t>
      </w:r>
      <w:r>
        <w:t>PVDF</w:t>
      </w:r>
      <w:r>
        <w:rPr>
          <w:rFonts w:hint="eastAsia"/>
        </w:rPr>
        <w:t>等用于新能源电池的含氟精细化学品。</w:t>
      </w:r>
    </w:p>
    <w:p>
      <w:pPr>
        <w:pStyle w:val="40"/>
        <w:numPr>
          <w:ilvl w:val="0"/>
          <w:numId w:val="1"/>
        </w:numPr>
        <w:ind w:firstLineChars="0"/>
        <w:rPr>
          <w:b/>
          <w:bCs/>
        </w:rPr>
      </w:pPr>
      <w:r>
        <w:rPr>
          <w:rFonts w:hint="eastAsia"/>
          <w:b/>
          <w:bCs/>
        </w:rPr>
        <w:t>锂矿（黏土型）：</w:t>
      </w:r>
      <w:r>
        <w:rPr>
          <w:rFonts w:hint="eastAsia"/>
        </w:rPr>
        <w:t>针对我省黏土型锂矿的矿产基础，重点突破黏土型锂矿的开发和提取技术，降低开采成本，实现黏土型锂资源的经济性开发利用，使其成为锂资源的有效供给。</w:t>
      </w:r>
    </w:p>
    <w:p>
      <w:pPr>
        <w:ind w:firstLine="562"/>
      </w:pPr>
      <w:r>
        <w:rPr>
          <w:rFonts w:hint="eastAsia"/>
          <w:b/>
          <w:bCs/>
        </w:rPr>
        <w:t>正极及上游材料。</w:t>
      </w:r>
      <w:r>
        <w:rPr>
          <w:rFonts w:hint="eastAsia"/>
        </w:rPr>
        <w:t>配套新能源电池产业，坚持磷酸铁锂和三元材料两条技术路线，同时探索新型电池正极材料。重点发展磷酸铁锂正极材料及上游磷酸铁、磷酸一铵等材料，对磷石膏等副产品实现有效的循环利用；重点发展三元正极材料及上游三元前驱体材料（5系/6系/</w:t>
      </w:r>
      <w:r>
        <w:t>8</w:t>
      </w:r>
      <w:r>
        <w:rPr>
          <w:rFonts w:hint="eastAsia"/>
        </w:rPr>
        <w:t>系/9系）和高纯硫酸锰等；积极布局钠离子电池正极材料及前驱体材料，包括层状过渡金属氧化物、聚阴离子型材料、普鲁士蓝（白）化合物等。</w:t>
      </w:r>
    </w:p>
    <w:p>
      <w:pPr>
        <w:ind w:firstLine="562"/>
      </w:pPr>
      <w:r>
        <w:rPr>
          <w:rFonts w:hint="eastAsia"/>
          <w:b/>
          <w:bCs/>
        </w:rPr>
        <w:t>负极及上游材料。</w:t>
      </w:r>
      <w:r>
        <w:rPr>
          <w:rFonts w:hint="eastAsia"/>
        </w:rPr>
        <w:t>着力突破“煤焦油—针状焦—负极材料”产业路径，依托省内的煤焦化产业基础形成新的竞争点。重点发展石墨等碳系负极材料，积极布局钠离子电池用软碳、硬碳材料等，研究和开发钛基、硅基等非碳系负极及纳米化、氧化亚硅等材料优化以及干电极、预补锂等电池新技术。</w:t>
      </w:r>
    </w:p>
    <w:p>
      <w:pPr>
        <w:ind w:firstLine="562"/>
      </w:pPr>
      <w:r>
        <w:rPr>
          <w:rFonts w:hint="eastAsia"/>
          <w:b/>
          <w:bCs/>
        </w:rPr>
        <w:t>隔膜及上游材料。</w:t>
      </w:r>
      <w:r>
        <w:rPr>
          <w:rFonts w:hint="eastAsia"/>
        </w:rPr>
        <w:t>加强与国内外隔膜企业的沟通，填补我省电池隔膜产业的空白，重点引进锂电池陶瓷隔膜、新型聚合物、无纺布隔膜等电池隔膜项目，带动我省锂电产业链的填空补缺，形成产业配套优势，同时实现对新型基材和涂覆材料的研发突破。</w:t>
      </w:r>
    </w:p>
    <w:p>
      <w:pPr>
        <w:ind w:firstLine="562"/>
      </w:pPr>
      <w:r>
        <w:rPr>
          <w:rFonts w:hint="eastAsia"/>
          <w:b/>
          <w:bCs/>
        </w:rPr>
        <w:t>电解液及上游材料</w:t>
      </w:r>
      <w:r>
        <w:rPr>
          <w:rFonts w:hint="eastAsia"/>
        </w:rPr>
        <w:t>。重点发展动力电池用电解液及上游六氟磷酸锂、Li</w:t>
      </w:r>
      <w:r>
        <w:t>FSI</w:t>
      </w:r>
      <w:r>
        <w:rPr>
          <w:rFonts w:hint="eastAsia"/>
        </w:rPr>
        <w:t>等电解质锂盐材料以及氟化氢等氟化工材料，重点发展</w:t>
      </w:r>
      <w:r>
        <w:t>VC</w:t>
      </w:r>
      <w:r>
        <w:rPr>
          <w:rFonts w:hint="eastAsia"/>
        </w:rPr>
        <w:t>、F</w:t>
      </w:r>
      <w:r>
        <w:t>EC</w:t>
      </w:r>
      <w:r>
        <w:rPr>
          <w:rFonts w:hint="eastAsia"/>
        </w:rPr>
        <w:t>、</w:t>
      </w:r>
      <w:r>
        <w:t>DTD</w:t>
      </w:r>
      <w:r>
        <w:rPr>
          <w:rFonts w:hint="eastAsia"/>
        </w:rPr>
        <w:t>及其他新型添加剂材料，积极布局六氟磷酸钠等钠离子电池相关材料。研究和开发固态电解质、液流电池电解液等新型电解液材料。</w:t>
      </w:r>
    </w:p>
    <w:p>
      <w:pPr>
        <w:ind w:firstLine="562"/>
      </w:pPr>
      <w:r>
        <w:rPr>
          <w:rFonts w:hint="eastAsia"/>
          <w:b/>
          <w:bCs/>
        </w:rPr>
        <w:t>其他材料：</w:t>
      </w:r>
      <w:r>
        <w:rPr>
          <w:rFonts w:hint="eastAsia"/>
        </w:rPr>
        <w:t>除新能源电池四大主料外，还应积极发展锂电铜箔、电池铝箔、PVDF+NMP粘结剂、导电剂等其他材料以及燃料电池膜电极、液流电池等新型电池关键材料，形成完整配套的电池材料各细分领域协同发展模式。</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3" w:type="dxa"/>
          <w:left w:w="113" w:type="dxa"/>
          <w:bottom w:w="28" w:type="dxa"/>
          <w:right w:w="113" w:type="dxa"/>
        </w:tblCellMar>
      </w:tblPr>
      <w:tblGrid>
        <w:gridCol w:w="1304"/>
        <w:gridCol w:w="7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624" w:hRule="atLeast"/>
        </w:trPr>
        <w:tc>
          <w:tcPr>
            <w:tcW w:w="5000" w:type="pct"/>
            <w:gridSpan w:val="2"/>
            <w:tcMar>
              <w:top w:w="113" w:type="dxa"/>
              <w:left w:w="113" w:type="dxa"/>
              <w:right w:w="113" w:type="dxa"/>
            </w:tcMar>
            <w:vAlign w:val="center"/>
          </w:tcPr>
          <w:p>
            <w:pPr>
              <w:ind w:firstLine="0" w:firstLineChars="0"/>
              <w:contextualSpacing/>
              <w:jc w:val="center"/>
              <w:rPr>
                <w:rFonts w:ascii="仿宋_GB2312" w:hAnsi="仿宋"/>
                <w:sz w:val="24"/>
                <w:szCs w:val="24"/>
              </w:rPr>
            </w:pPr>
            <w:r>
              <w:rPr>
                <w:rFonts w:hint="eastAsia" w:ascii="仿宋_GB2312" w:hAnsi="仿宋"/>
                <w:b/>
                <w:bCs/>
                <w:sz w:val="24"/>
                <w:szCs w:val="24"/>
              </w:rPr>
              <w:t>专栏 2-1 ：新能源电池产业发展重点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590" w:hRule="atLeast"/>
        </w:trPr>
        <w:tc>
          <w:tcPr>
            <w:tcW w:w="719" w:type="pct"/>
            <w:tcMar>
              <w:top w:w="113" w:type="dxa"/>
              <w:left w:w="113" w:type="dxa"/>
              <w:right w:w="113" w:type="dxa"/>
            </w:tcMar>
            <w:vAlign w:val="center"/>
          </w:tcPr>
          <w:p>
            <w:pPr>
              <w:ind w:firstLine="0" w:firstLineChars="0"/>
              <w:contextualSpacing/>
              <w:jc w:val="center"/>
              <w:rPr>
                <w:rFonts w:ascii="仿宋_GB2312" w:hAnsi="仿宋"/>
                <w:b/>
                <w:bCs/>
                <w:sz w:val="24"/>
                <w:szCs w:val="24"/>
              </w:rPr>
            </w:pPr>
            <w:r>
              <w:rPr>
                <w:rFonts w:hint="eastAsia" w:ascii="仿宋_GB2312" w:hAnsi="仿宋"/>
                <w:b/>
                <w:bCs/>
                <w:sz w:val="24"/>
                <w:szCs w:val="24"/>
              </w:rPr>
              <w:t>重点方向</w:t>
            </w:r>
          </w:p>
        </w:tc>
        <w:tc>
          <w:tcPr>
            <w:tcW w:w="4281" w:type="pct"/>
            <w:tcMar>
              <w:top w:w="113" w:type="dxa"/>
              <w:left w:w="113" w:type="dxa"/>
              <w:right w:w="113" w:type="dxa"/>
            </w:tcMar>
            <w:vAlign w:val="center"/>
          </w:tcPr>
          <w:p>
            <w:pPr>
              <w:ind w:firstLine="480"/>
              <w:contextualSpacing/>
              <w:rPr>
                <w:rFonts w:ascii="仿宋_GB2312" w:hAnsi="仿宋"/>
                <w:sz w:val="24"/>
                <w:szCs w:val="24"/>
              </w:rPr>
            </w:pPr>
            <w:r>
              <w:rPr>
                <w:rFonts w:hint="eastAsia" w:ascii="仿宋_GB2312" w:hAnsi="仿宋"/>
                <w:sz w:val="24"/>
                <w:szCs w:val="24"/>
              </w:rPr>
              <w:t>重点发展四大材料及锂电铜箔、电池铝箔、PVDF+ NMP粘结剂、导电剂等其他材料。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393" w:hRule="atLeast"/>
        </w:trPr>
        <w:tc>
          <w:tcPr>
            <w:tcW w:w="719" w:type="pct"/>
            <w:tcMar>
              <w:top w:w="113" w:type="dxa"/>
              <w:left w:w="113" w:type="dxa"/>
              <w:right w:w="113" w:type="dxa"/>
            </w:tcMar>
            <w:vAlign w:val="center"/>
          </w:tcPr>
          <w:p>
            <w:pPr>
              <w:ind w:firstLine="0" w:firstLineChars="0"/>
              <w:contextualSpacing/>
              <w:jc w:val="center"/>
              <w:rPr>
                <w:rFonts w:ascii="仿宋_GB2312" w:hAnsi="仿宋"/>
                <w:b/>
                <w:bCs/>
                <w:sz w:val="24"/>
                <w:szCs w:val="24"/>
              </w:rPr>
            </w:pPr>
            <w:r>
              <w:rPr>
                <w:rFonts w:hint="eastAsia" w:ascii="仿宋_GB2312" w:hAnsi="仿宋"/>
                <w:b/>
                <w:bCs/>
                <w:sz w:val="24"/>
                <w:szCs w:val="24"/>
              </w:rPr>
              <w:t>重点区域</w:t>
            </w:r>
          </w:p>
        </w:tc>
        <w:tc>
          <w:tcPr>
            <w:tcW w:w="4281" w:type="pct"/>
            <w:tcMar>
              <w:top w:w="113" w:type="dxa"/>
              <w:left w:w="113" w:type="dxa"/>
              <w:right w:w="113" w:type="dxa"/>
            </w:tcMar>
            <w:vAlign w:val="center"/>
          </w:tcPr>
          <w:p>
            <w:pPr>
              <w:ind w:firstLine="0" w:firstLineChars="0"/>
              <w:contextualSpacing/>
              <w:rPr>
                <w:rFonts w:ascii="仿宋_GB2312" w:hAnsi="仿宋"/>
                <w:sz w:val="24"/>
                <w:szCs w:val="24"/>
              </w:rPr>
            </w:pPr>
            <w:r>
              <w:rPr>
                <w:rFonts w:hint="eastAsia" w:ascii="仿宋_GB2312" w:hAnsi="仿宋"/>
                <w:sz w:val="24"/>
                <w:szCs w:val="24"/>
              </w:rPr>
              <w:t>贵阳贵安、黔南、铜仁、毕节、黔西南、六盘水、安顺、遵义市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3627" w:hRule="atLeast"/>
        </w:trPr>
        <w:tc>
          <w:tcPr>
            <w:tcW w:w="719" w:type="pct"/>
            <w:tcMar>
              <w:top w:w="113" w:type="dxa"/>
              <w:left w:w="113" w:type="dxa"/>
              <w:right w:w="113" w:type="dxa"/>
            </w:tcMar>
            <w:vAlign w:val="center"/>
          </w:tcPr>
          <w:p>
            <w:pPr>
              <w:ind w:firstLine="0" w:firstLineChars="0"/>
              <w:contextualSpacing/>
              <w:jc w:val="center"/>
              <w:rPr>
                <w:rFonts w:ascii="仿宋_GB2312" w:hAnsi="仿宋"/>
                <w:b/>
                <w:bCs/>
                <w:sz w:val="24"/>
                <w:szCs w:val="24"/>
              </w:rPr>
            </w:pPr>
            <w:r>
              <w:rPr>
                <w:rFonts w:hint="eastAsia" w:ascii="仿宋_GB2312" w:hAnsi="仿宋"/>
                <w:b/>
                <w:bCs/>
                <w:sz w:val="24"/>
                <w:szCs w:val="24"/>
              </w:rPr>
              <w:t>重点企业</w:t>
            </w:r>
          </w:p>
        </w:tc>
        <w:tc>
          <w:tcPr>
            <w:tcW w:w="4281" w:type="pct"/>
            <w:tcMar>
              <w:top w:w="113" w:type="dxa"/>
              <w:left w:w="113" w:type="dxa"/>
              <w:right w:w="113" w:type="dxa"/>
            </w:tcMar>
            <w:vAlign w:val="center"/>
          </w:tcPr>
          <w:p>
            <w:pPr>
              <w:spacing w:before="240" w:beforeLines="100"/>
              <w:ind w:firstLine="482"/>
              <w:contextualSpacing/>
              <w:rPr>
                <w:rFonts w:ascii="仿宋_GB2312" w:hAnsi="仿宋"/>
                <w:sz w:val="24"/>
                <w:szCs w:val="24"/>
              </w:rPr>
            </w:pPr>
            <w:r>
              <w:rPr>
                <w:rFonts w:hint="eastAsia" w:ascii="仿宋_GB2312" w:hAnsi="仿宋"/>
                <w:b/>
                <w:bCs/>
                <w:sz w:val="24"/>
                <w:szCs w:val="24"/>
              </w:rPr>
              <w:t>正极及上游材料：</w:t>
            </w:r>
            <w:r>
              <w:rPr>
                <w:rFonts w:hint="eastAsia" w:ascii="仿宋_GB2312" w:hAnsi="仿宋"/>
                <w:sz w:val="24"/>
                <w:szCs w:val="24"/>
              </w:rPr>
              <w:t>贵州磷化集团、贵州裕能新能源电池材料有限公司、贵州振华新材料股份有限公司、中伟新材料股份有限公司、贵州嘉尚新能源材料公司、贵州容百锂电材料有限公司、贵州雅友新材料有限公司、贵州合众锰业科技有限公司等</w:t>
            </w:r>
          </w:p>
          <w:p>
            <w:pPr>
              <w:ind w:firstLine="482"/>
              <w:contextualSpacing/>
              <w:rPr>
                <w:rFonts w:ascii="仿宋_GB2312" w:hAnsi="仿宋"/>
                <w:sz w:val="24"/>
                <w:szCs w:val="24"/>
              </w:rPr>
            </w:pPr>
            <w:r>
              <w:rPr>
                <w:rFonts w:hint="eastAsia" w:ascii="仿宋_GB2312" w:hAnsi="仿宋"/>
                <w:b/>
                <w:bCs/>
                <w:sz w:val="24"/>
                <w:szCs w:val="24"/>
              </w:rPr>
              <w:t>负极及上游材料：</w:t>
            </w:r>
            <w:r>
              <w:rPr>
                <w:rFonts w:hint="eastAsia" w:ascii="仿宋_GB2312" w:hAnsi="仿宋"/>
                <w:sz w:val="24"/>
                <w:szCs w:val="24"/>
              </w:rPr>
              <w:t>贵州中科星城石墨有限公司、贵州羚光新材料有限公司、贵州东岛新能源材料有限公司、贵州凯金新能源科技有限公司、贵州博邦山河新材料有限公司、贵州</w:t>
            </w:r>
            <w:r>
              <w:rPr>
                <w:rFonts w:hint="eastAsia" w:ascii="微软雅黑" w:hAnsi="微软雅黑" w:eastAsia="微软雅黑" w:cs="微软雅黑"/>
                <w:sz w:val="24"/>
                <w:szCs w:val="24"/>
              </w:rPr>
              <w:t>镕</w:t>
            </w:r>
            <w:r>
              <w:rPr>
                <w:rFonts w:hint="eastAsia" w:ascii="仿宋_GB2312" w:hAnsi="仿宋"/>
                <w:sz w:val="24"/>
                <w:szCs w:val="24"/>
              </w:rPr>
              <w:t>锂新材料科技有限公司等</w:t>
            </w:r>
          </w:p>
          <w:p>
            <w:pPr>
              <w:ind w:firstLine="482"/>
              <w:contextualSpacing/>
              <w:rPr>
                <w:rFonts w:ascii="仿宋_GB2312" w:hAnsi="仿宋"/>
                <w:sz w:val="24"/>
                <w:szCs w:val="24"/>
              </w:rPr>
            </w:pPr>
            <w:r>
              <w:rPr>
                <w:rFonts w:hint="eastAsia" w:ascii="仿宋_GB2312" w:hAnsi="仿宋"/>
                <w:b/>
                <w:bCs/>
                <w:sz w:val="24"/>
                <w:szCs w:val="24"/>
              </w:rPr>
              <w:t>电解液及上游材料：</w:t>
            </w:r>
            <w:r>
              <w:rPr>
                <w:rFonts w:hint="eastAsia" w:ascii="仿宋_GB2312" w:hAnsi="仿宋"/>
                <w:sz w:val="24"/>
                <w:szCs w:val="24"/>
              </w:rPr>
              <w:t>贵州兴锂新能源科技有限公司、贵州航盛锂能科技有限公司、隆欣达化工科技有限公司、时代思康新材料有限公司、贵州恒冠新能源材料有限公司等</w:t>
            </w:r>
          </w:p>
          <w:p>
            <w:pPr>
              <w:spacing w:after="240" w:afterLines="100"/>
              <w:ind w:firstLine="482"/>
              <w:contextualSpacing/>
              <w:rPr>
                <w:rFonts w:ascii="仿宋_GB2312" w:hAnsi="仿宋"/>
                <w:sz w:val="24"/>
                <w:szCs w:val="24"/>
              </w:rPr>
            </w:pPr>
            <w:r>
              <w:rPr>
                <w:rFonts w:hint="eastAsia" w:ascii="仿宋_GB2312" w:hAnsi="仿宋"/>
                <w:b/>
                <w:bCs/>
                <w:sz w:val="24"/>
                <w:szCs w:val="24"/>
              </w:rPr>
              <w:t>其他材料：</w:t>
            </w:r>
            <w:r>
              <w:rPr>
                <w:rFonts w:hint="eastAsia" w:ascii="仿宋_GB2312" w:hAnsi="仿宋"/>
                <w:sz w:val="24"/>
                <w:szCs w:val="24"/>
              </w:rPr>
              <w:t>贵州清镇经开区铝产业园区、贵州水城经开区铝产业园、中鼎高精铜箔制造有限公司、贵州鑫泰源开发投资有限公司等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6636" w:hRule="atLeast"/>
        </w:trPr>
        <w:tc>
          <w:tcPr>
            <w:tcW w:w="719" w:type="pct"/>
            <w:tcMar>
              <w:top w:w="113" w:type="dxa"/>
              <w:left w:w="113" w:type="dxa"/>
              <w:right w:w="113" w:type="dxa"/>
            </w:tcMar>
            <w:vAlign w:val="center"/>
          </w:tcPr>
          <w:p>
            <w:pPr>
              <w:ind w:firstLine="0" w:firstLineChars="0"/>
              <w:contextualSpacing/>
              <w:jc w:val="center"/>
              <w:rPr>
                <w:rFonts w:ascii="仿宋_GB2312" w:hAnsi="仿宋"/>
                <w:b/>
                <w:bCs/>
                <w:sz w:val="24"/>
                <w:szCs w:val="24"/>
              </w:rPr>
            </w:pPr>
            <w:r>
              <w:rPr>
                <w:rFonts w:hint="eastAsia" w:ascii="仿宋_GB2312" w:hAnsi="仿宋"/>
                <w:b/>
                <w:bCs/>
                <w:sz w:val="24"/>
                <w:szCs w:val="24"/>
              </w:rPr>
              <w:t>发展途径</w:t>
            </w:r>
          </w:p>
        </w:tc>
        <w:tc>
          <w:tcPr>
            <w:tcW w:w="4281" w:type="pct"/>
            <w:tcMar>
              <w:top w:w="113" w:type="dxa"/>
              <w:left w:w="113" w:type="dxa"/>
              <w:right w:w="113" w:type="dxa"/>
            </w:tcMar>
            <w:vAlign w:val="center"/>
          </w:tcPr>
          <w:p>
            <w:pPr>
              <w:ind w:firstLine="482"/>
              <w:contextualSpacing/>
              <w:rPr>
                <w:rFonts w:ascii="仿宋_GB2312" w:hAnsi="仿宋"/>
                <w:sz w:val="24"/>
                <w:szCs w:val="24"/>
              </w:rPr>
            </w:pPr>
            <w:r>
              <w:rPr>
                <w:rFonts w:hint="eastAsia" w:ascii="仿宋_GB2312" w:hAnsi="仿宋"/>
                <w:b/>
                <w:bCs/>
                <w:sz w:val="24"/>
                <w:szCs w:val="24"/>
              </w:rPr>
              <w:t>正极及上游材料。</w:t>
            </w:r>
            <w:r>
              <w:rPr>
                <w:rFonts w:hint="eastAsia" w:ascii="仿宋_GB2312" w:hAnsi="仿宋"/>
                <w:sz w:val="24"/>
                <w:szCs w:val="24"/>
              </w:rPr>
              <w:t>以开磷集团、贵州裕能等企业为依托，重点布局磷酸铁及磷酸铁锂材料；以振华新材、贵州容百、中伟新材、贵州雅友合众锰业为依托，重点布局三元材料及上游前驱体材料。积极促进材料企业与本地宁德时代和比亚迪两大电池企业的本地化配套。</w:t>
            </w:r>
          </w:p>
          <w:p>
            <w:pPr>
              <w:ind w:firstLine="482"/>
              <w:contextualSpacing/>
              <w:rPr>
                <w:rFonts w:ascii="仿宋_GB2312" w:hAnsi="仿宋"/>
                <w:sz w:val="24"/>
                <w:szCs w:val="24"/>
              </w:rPr>
            </w:pPr>
            <w:r>
              <w:rPr>
                <w:rFonts w:hint="eastAsia" w:ascii="仿宋_GB2312" w:hAnsi="仿宋"/>
                <w:b/>
                <w:bCs/>
                <w:sz w:val="24"/>
                <w:szCs w:val="24"/>
              </w:rPr>
              <w:t>负极及上游材料。</w:t>
            </w:r>
            <w:r>
              <w:rPr>
                <w:rFonts w:hint="eastAsia" w:ascii="仿宋_GB2312" w:hAnsi="仿宋"/>
                <w:sz w:val="24"/>
                <w:szCs w:val="24"/>
              </w:rPr>
              <w:t>发挥黔西南州电价优势及煤化工基础，以羚光新材和贵州东岛、贵州中科星城等负极材料企业为依托，重点布局负极材料一体化项目以及新型负极材料项目，提升其产业附加值；充分发挥六盘水市煤焦化基础，以中伟新材、贵州</w:t>
            </w:r>
            <w:r>
              <w:rPr>
                <w:rFonts w:hint="eastAsia" w:ascii="微软雅黑" w:hAnsi="微软雅黑" w:eastAsia="微软雅黑" w:cs="微软雅黑"/>
                <w:sz w:val="24"/>
                <w:szCs w:val="24"/>
              </w:rPr>
              <w:t>镕</w:t>
            </w:r>
            <w:r>
              <w:rPr>
                <w:rFonts w:hint="eastAsia" w:ascii="仿宋_GB2312" w:hAnsi="仿宋"/>
                <w:sz w:val="24"/>
                <w:szCs w:val="24"/>
              </w:rPr>
              <w:t>锂等企业为依托，布局煤系负极材料项目。</w:t>
            </w:r>
          </w:p>
          <w:p>
            <w:pPr>
              <w:ind w:firstLine="482"/>
              <w:contextualSpacing/>
              <w:rPr>
                <w:rFonts w:ascii="仿宋_GB2312" w:hAnsi="仿宋"/>
                <w:b/>
                <w:bCs/>
                <w:sz w:val="24"/>
                <w:szCs w:val="24"/>
              </w:rPr>
            </w:pPr>
            <w:r>
              <w:rPr>
                <w:rFonts w:hint="eastAsia" w:ascii="仿宋_GB2312" w:hAnsi="仿宋"/>
                <w:b/>
                <w:bCs/>
                <w:sz w:val="24"/>
                <w:szCs w:val="24"/>
              </w:rPr>
              <w:t>隔膜及上游材料。</w:t>
            </w:r>
            <w:r>
              <w:rPr>
                <w:rFonts w:hint="eastAsia" w:ascii="仿宋_GB2312" w:hAnsi="仿宋"/>
                <w:sz w:val="24"/>
                <w:szCs w:val="24"/>
              </w:rPr>
              <w:t>以宁德时代和比亚迪等下游企业为基础，积极引进其具有合作关系的相关隔膜企业，打造本地化全产业链配套体系。</w:t>
            </w:r>
          </w:p>
          <w:p>
            <w:pPr>
              <w:ind w:firstLine="482"/>
              <w:contextualSpacing/>
              <w:rPr>
                <w:rFonts w:ascii="仿宋_GB2312" w:hAnsi="仿宋"/>
                <w:sz w:val="24"/>
                <w:szCs w:val="24"/>
              </w:rPr>
            </w:pPr>
            <w:r>
              <w:rPr>
                <w:rFonts w:hint="eastAsia" w:ascii="仿宋_GB2312" w:hAnsi="仿宋"/>
                <w:b/>
                <w:bCs/>
                <w:sz w:val="24"/>
                <w:szCs w:val="24"/>
              </w:rPr>
              <w:t>电解液及上游材料。</w:t>
            </w:r>
            <w:r>
              <w:rPr>
                <w:rFonts w:hint="eastAsia" w:ascii="仿宋_GB2312" w:hAnsi="仿宋"/>
                <w:sz w:val="24"/>
                <w:szCs w:val="24"/>
              </w:rPr>
              <w:t>以省内化工园区为基础，依托贵州兴锂、航盛科技、贵州恒冠、隆欣达等企业，重点布局电解液、锂盐、添加剂等关键材料环节。</w:t>
            </w:r>
          </w:p>
          <w:p>
            <w:pPr>
              <w:ind w:firstLine="482"/>
              <w:contextualSpacing/>
              <w:rPr>
                <w:rFonts w:ascii="仿宋_GB2312" w:hAnsi="仿宋"/>
                <w:sz w:val="24"/>
                <w:szCs w:val="24"/>
              </w:rPr>
            </w:pPr>
            <w:r>
              <w:rPr>
                <w:rFonts w:hint="eastAsia" w:ascii="仿宋_GB2312" w:hAnsi="仿宋"/>
                <w:b/>
                <w:bCs/>
                <w:sz w:val="24"/>
                <w:szCs w:val="24"/>
              </w:rPr>
              <w:t>其他材料。</w:t>
            </w:r>
            <w:r>
              <w:rPr>
                <w:rFonts w:hint="eastAsia" w:ascii="仿宋_GB2312" w:hAnsi="仿宋"/>
                <w:sz w:val="24"/>
                <w:szCs w:val="24"/>
              </w:rPr>
              <w:t>以遵义中铝、贵州清镇经开区铝产业园区、贵州水城经开区铝产业园、中鼎铜箔为基础，积极拓展新能源锂电铜箔、电池铝箔、PVDF+NMP粘结剂、导电剂等其他高附加值环节的相关材料，提升我省新能源材料产业的竞争力。</w:t>
            </w:r>
          </w:p>
        </w:tc>
      </w:tr>
    </w:tbl>
    <w:p>
      <w:pPr>
        <w:ind w:firstLine="560"/>
      </w:pPr>
      <w:bookmarkStart w:id="53" w:name="_Toc118298132"/>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11"/>
        <w:gridCol w:w="7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8834" w:type="dxa"/>
            <w:gridSpan w:val="2"/>
            <w:tcMar>
              <w:top w:w="113" w:type="dxa"/>
              <w:left w:w="113" w:type="dxa"/>
              <w:right w:w="113" w:type="dxa"/>
            </w:tcMar>
            <w:vAlign w:val="center"/>
          </w:tcPr>
          <w:p>
            <w:pPr>
              <w:spacing w:line="240" w:lineRule="auto"/>
              <w:ind w:firstLine="0" w:firstLineChars="0"/>
              <w:contextualSpacing/>
              <w:jc w:val="center"/>
              <w:rPr>
                <w:rFonts w:ascii="仿宋_GB2312" w:hAnsi="仿宋"/>
                <w:b/>
                <w:bCs/>
                <w:sz w:val="24"/>
                <w:szCs w:val="24"/>
              </w:rPr>
            </w:pPr>
            <w:bookmarkStart w:id="54" w:name="_Hlk116661986"/>
            <w:r>
              <w:rPr>
                <w:rFonts w:hint="eastAsia" w:ascii="仿宋_GB2312" w:hAnsi="仿宋"/>
                <w:b/>
                <w:bCs/>
                <w:sz w:val="24"/>
                <w:szCs w:val="24"/>
              </w:rPr>
              <w:t>招商专栏2-2 ：新能源电池产业招商路径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trPr>
        <w:tc>
          <w:tcPr>
            <w:tcW w:w="1711" w:type="dxa"/>
            <w:tcMar>
              <w:top w:w="113" w:type="dxa"/>
              <w:left w:w="113" w:type="dxa"/>
              <w:right w:w="113" w:type="dxa"/>
            </w:tcMar>
            <w:vAlign w:val="center"/>
          </w:tcPr>
          <w:p>
            <w:pPr>
              <w:spacing w:line="240" w:lineRule="auto"/>
              <w:ind w:firstLine="0" w:firstLineChars="0"/>
              <w:jc w:val="center"/>
              <w:rPr>
                <w:rFonts w:ascii="仿宋_GB2312" w:hAnsi="仿宋"/>
                <w:b/>
                <w:bCs/>
                <w:sz w:val="24"/>
                <w:szCs w:val="24"/>
              </w:rPr>
            </w:pPr>
            <w:r>
              <w:rPr>
                <w:rFonts w:hint="eastAsia" w:ascii="仿宋_GB2312" w:hAnsi="仿宋"/>
                <w:b/>
                <w:bCs/>
                <w:sz w:val="24"/>
                <w:szCs w:val="24"/>
              </w:rPr>
              <w:t>重点方向</w:t>
            </w:r>
          </w:p>
        </w:tc>
        <w:tc>
          <w:tcPr>
            <w:tcW w:w="7123" w:type="dxa"/>
            <w:tcMar>
              <w:top w:w="113" w:type="dxa"/>
              <w:left w:w="113" w:type="dxa"/>
              <w:right w:w="113" w:type="dxa"/>
            </w:tcMar>
            <w:vAlign w:val="center"/>
          </w:tcPr>
          <w:p>
            <w:pPr>
              <w:ind w:firstLine="480"/>
              <w:contextualSpacing/>
              <w:rPr>
                <w:rFonts w:ascii="仿宋_GB2312" w:hAnsi="仿宋"/>
                <w:sz w:val="24"/>
                <w:szCs w:val="24"/>
              </w:rPr>
            </w:pPr>
            <w:r>
              <w:rPr>
                <w:rFonts w:hint="eastAsia" w:ascii="仿宋_GB2312" w:hAnsi="仿宋"/>
                <w:sz w:val="24"/>
                <w:szCs w:val="24"/>
              </w:rPr>
              <w:t>以高附加值产业为主，在磷酸铁锂方向鼓励现有企业进行技术升级，生产磷酸锰铁锂等新体系电池材料；在三元材料及前驱体继续招引高镍三元材料及前驱体、钠离子电池正极材料企业；负极材料重点招引负极材料一体化项目以及硅碳负极等先进材料企业；电解液材料重点招引添加剂或六氟磷酸锂/钠等材料企业；隔膜材料环节主要以涂敷材料相关项目为主；在电池集流体材料，重点引进具备超薄铝箔铜箔或复合集流体生产技术的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9" w:hRule="atLeast"/>
        </w:trPr>
        <w:tc>
          <w:tcPr>
            <w:tcW w:w="1711" w:type="dxa"/>
            <w:tcMar>
              <w:top w:w="113" w:type="dxa"/>
              <w:left w:w="113" w:type="dxa"/>
              <w:right w:w="113" w:type="dxa"/>
            </w:tcMar>
            <w:vAlign w:val="center"/>
          </w:tcPr>
          <w:p>
            <w:pPr>
              <w:spacing w:line="240" w:lineRule="auto"/>
              <w:ind w:firstLine="0" w:firstLineChars="0"/>
              <w:jc w:val="center"/>
              <w:rPr>
                <w:rFonts w:ascii="仿宋_GB2312" w:hAnsi="仿宋"/>
                <w:b/>
                <w:bCs/>
                <w:sz w:val="24"/>
                <w:szCs w:val="24"/>
              </w:rPr>
            </w:pPr>
            <w:r>
              <w:rPr>
                <w:rFonts w:hint="eastAsia" w:ascii="仿宋_GB2312" w:hAnsi="仿宋"/>
                <w:b/>
                <w:bCs/>
                <w:sz w:val="24"/>
                <w:szCs w:val="24"/>
              </w:rPr>
              <w:t>潜在招商企业</w:t>
            </w:r>
          </w:p>
        </w:tc>
        <w:tc>
          <w:tcPr>
            <w:tcW w:w="7123" w:type="dxa"/>
            <w:tcMar>
              <w:top w:w="113" w:type="dxa"/>
              <w:left w:w="113" w:type="dxa"/>
              <w:right w:w="113" w:type="dxa"/>
            </w:tcMar>
            <w:vAlign w:val="center"/>
          </w:tcPr>
          <w:p>
            <w:pPr>
              <w:ind w:firstLine="482"/>
              <w:contextualSpacing/>
              <w:rPr>
                <w:rFonts w:ascii="仿宋_GB2312" w:hAnsi="仿宋"/>
                <w:sz w:val="24"/>
                <w:szCs w:val="24"/>
              </w:rPr>
            </w:pPr>
            <w:r>
              <w:rPr>
                <w:rFonts w:hint="eastAsia" w:ascii="仿宋_GB2312" w:hAnsi="仿宋"/>
                <w:b/>
                <w:bCs/>
                <w:sz w:val="24"/>
                <w:szCs w:val="24"/>
              </w:rPr>
              <w:t>磷酸铁锂正极材料：</w:t>
            </w:r>
            <w:r>
              <w:rPr>
                <w:rFonts w:hint="eastAsia" w:ascii="仿宋_GB2312" w:hAnsi="仿宋"/>
                <w:sz w:val="24"/>
                <w:szCs w:val="24"/>
              </w:rPr>
              <w:t>德方纳米、湖北万润、国轩高科、融通高科等</w:t>
            </w:r>
          </w:p>
          <w:p>
            <w:pPr>
              <w:ind w:firstLine="482"/>
              <w:contextualSpacing/>
              <w:rPr>
                <w:rFonts w:ascii="仿宋_GB2312" w:hAnsi="仿宋"/>
                <w:b/>
                <w:bCs/>
                <w:sz w:val="24"/>
                <w:szCs w:val="24"/>
              </w:rPr>
            </w:pPr>
            <w:r>
              <w:rPr>
                <w:rFonts w:hint="eastAsia" w:ascii="仿宋_GB2312" w:hAnsi="仿宋"/>
                <w:b/>
                <w:bCs/>
                <w:sz w:val="24"/>
                <w:szCs w:val="24"/>
              </w:rPr>
              <w:t>三元正极材料：</w:t>
            </w:r>
            <w:r>
              <w:rPr>
                <w:rFonts w:hint="eastAsia" w:ascii="仿宋_GB2312" w:hAnsi="仿宋"/>
                <w:sz w:val="24"/>
                <w:szCs w:val="24"/>
              </w:rPr>
              <w:t>当升科技、天津巴莫、长远锂科、南通瑞翔、厦钨新能等</w:t>
            </w:r>
          </w:p>
          <w:p>
            <w:pPr>
              <w:ind w:firstLine="482"/>
              <w:contextualSpacing/>
              <w:rPr>
                <w:rFonts w:ascii="仿宋_GB2312" w:hAnsi="仿宋"/>
                <w:sz w:val="24"/>
                <w:szCs w:val="24"/>
              </w:rPr>
            </w:pPr>
            <w:r>
              <w:rPr>
                <w:rFonts w:hint="eastAsia" w:ascii="仿宋_GB2312" w:hAnsi="仿宋"/>
                <w:b/>
                <w:bCs/>
                <w:sz w:val="24"/>
                <w:szCs w:val="24"/>
              </w:rPr>
              <w:t>钠电池材料：</w:t>
            </w:r>
            <w:r>
              <w:rPr>
                <w:rFonts w:hint="eastAsia" w:ascii="仿宋_GB2312" w:hAnsi="仿宋"/>
                <w:sz w:val="24"/>
                <w:szCs w:val="24"/>
              </w:rPr>
              <w:t>苏州清陶、江苏卫蓝、辉能科技、赣锋锂业等</w:t>
            </w:r>
          </w:p>
          <w:p>
            <w:pPr>
              <w:ind w:firstLine="482"/>
              <w:contextualSpacing/>
              <w:rPr>
                <w:rFonts w:ascii="仿宋_GB2312" w:hAnsi="仿宋"/>
                <w:sz w:val="24"/>
                <w:szCs w:val="24"/>
              </w:rPr>
            </w:pPr>
            <w:r>
              <w:rPr>
                <w:rFonts w:hint="eastAsia" w:ascii="仿宋_GB2312" w:hAnsi="仿宋"/>
                <w:b/>
                <w:bCs/>
                <w:sz w:val="24"/>
                <w:szCs w:val="24"/>
              </w:rPr>
              <w:t>新型电池材料：</w:t>
            </w:r>
            <w:r>
              <w:rPr>
                <w:rFonts w:hint="eastAsia" w:ascii="仿宋_GB2312" w:hAnsi="仿宋"/>
                <w:sz w:val="24"/>
                <w:szCs w:val="24"/>
              </w:rPr>
              <w:t>贝斯特、东睦股份、雄韬股份、美锦能源、亚普股份等</w:t>
            </w:r>
          </w:p>
          <w:p>
            <w:pPr>
              <w:ind w:firstLine="482"/>
              <w:contextualSpacing/>
              <w:rPr>
                <w:rFonts w:ascii="仿宋_GB2312" w:hAnsi="仿宋"/>
                <w:sz w:val="24"/>
                <w:szCs w:val="24"/>
              </w:rPr>
            </w:pPr>
            <w:r>
              <w:rPr>
                <w:rFonts w:hint="eastAsia" w:ascii="仿宋_GB2312" w:hAnsi="仿宋"/>
                <w:b/>
                <w:bCs/>
                <w:sz w:val="24"/>
                <w:szCs w:val="24"/>
              </w:rPr>
              <w:t>负极材料：</w:t>
            </w:r>
            <w:r>
              <w:rPr>
                <w:rFonts w:hint="eastAsia" w:ascii="仿宋_GB2312" w:hAnsi="仿宋"/>
                <w:sz w:val="24"/>
                <w:szCs w:val="24"/>
              </w:rPr>
              <w:t>贝特瑞、杉杉股份、璞泰来、凯金能源、尚太科技、翔丰华等</w:t>
            </w:r>
          </w:p>
          <w:p>
            <w:pPr>
              <w:ind w:firstLine="482"/>
              <w:contextualSpacing/>
              <w:rPr>
                <w:rFonts w:ascii="仿宋_GB2312" w:hAnsi="仿宋"/>
                <w:sz w:val="24"/>
                <w:szCs w:val="24"/>
              </w:rPr>
            </w:pPr>
            <w:r>
              <w:rPr>
                <w:rFonts w:hint="eastAsia" w:ascii="仿宋_GB2312" w:hAnsi="仿宋"/>
                <w:b/>
                <w:bCs/>
                <w:sz w:val="24"/>
                <w:szCs w:val="24"/>
              </w:rPr>
              <w:t>电解液：</w:t>
            </w:r>
            <w:r>
              <w:rPr>
                <w:rFonts w:hint="eastAsia" w:ascii="仿宋_GB2312" w:hAnsi="仿宋"/>
                <w:sz w:val="24"/>
                <w:szCs w:val="24"/>
              </w:rPr>
              <w:t>天赐材料、新宙邦、国泰华荣、昆仑化学等</w:t>
            </w:r>
          </w:p>
          <w:p>
            <w:pPr>
              <w:ind w:firstLine="482"/>
              <w:contextualSpacing/>
              <w:rPr>
                <w:rFonts w:ascii="仿宋_GB2312" w:hAnsi="仿宋"/>
                <w:sz w:val="24"/>
                <w:szCs w:val="24"/>
              </w:rPr>
            </w:pPr>
            <w:r>
              <w:rPr>
                <w:rFonts w:hint="eastAsia" w:ascii="仿宋_GB2312" w:hAnsi="仿宋"/>
                <w:b/>
                <w:bCs/>
                <w:sz w:val="24"/>
                <w:szCs w:val="24"/>
              </w:rPr>
              <w:t>六氟磷酸锂/钠：</w:t>
            </w:r>
            <w:r>
              <w:rPr>
                <w:rFonts w:hint="eastAsia" w:ascii="仿宋_GB2312" w:hAnsi="仿宋"/>
                <w:sz w:val="24"/>
                <w:szCs w:val="24"/>
              </w:rPr>
              <w:t>多氟多、天际股份、三美股份等</w:t>
            </w:r>
          </w:p>
          <w:p>
            <w:pPr>
              <w:ind w:firstLine="482"/>
              <w:contextualSpacing/>
              <w:rPr>
                <w:rFonts w:ascii="仿宋_GB2312" w:hAnsi="仿宋"/>
                <w:sz w:val="24"/>
                <w:szCs w:val="24"/>
              </w:rPr>
            </w:pPr>
            <w:r>
              <w:rPr>
                <w:rFonts w:hint="eastAsia" w:ascii="仿宋_GB2312" w:hAnsi="仿宋"/>
                <w:b/>
                <w:bCs/>
                <w:sz w:val="24"/>
                <w:szCs w:val="24"/>
              </w:rPr>
              <w:t>添加剂：</w:t>
            </w:r>
            <w:r>
              <w:rPr>
                <w:rFonts w:hint="eastAsia" w:ascii="仿宋_GB2312" w:hAnsi="仿宋"/>
                <w:sz w:val="24"/>
                <w:szCs w:val="24"/>
              </w:rPr>
              <w:t>永太科技、华盛锂电、瀚康化工、苏州华一、荣成青木等</w:t>
            </w:r>
          </w:p>
          <w:p>
            <w:pPr>
              <w:ind w:firstLine="482"/>
              <w:contextualSpacing/>
              <w:rPr>
                <w:rFonts w:ascii="仿宋_GB2312" w:hAnsi="仿宋"/>
                <w:sz w:val="24"/>
                <w:szCs w:val="24"/>
              </w:rPr>
            </w:pPr>
            <w:r>
              <w:rPr>
                <w:rFonts w:hint="eastAsia" w:ascii="仿宋_GB2312" w:hAnsi="仿宋"/>
                <w:b/>
                <w:bCs/>
                <w:sz w:val="24"/>
                <w:szCs w:val="24"/>
              </w:rPr>
              <w:t>隔膜：</w:t>
            </w:r>
            <w:r>
              <w:rPr>
                <w:rFonts w:hint="eastAsia" w:ascii="仿宋_GB2312" w:hAnsi="仿宋"/>
                <w:sz w:val="24"/>
                <w:szCs w:val="24"/>
              </w:rPr>
              <w:t>恩捷股份、星源材质、中材科技、中兴新材、璞泰来、惠强新材、沧州明珠、中科科技等</w:t>
            </w:r>
          </w:p>
          <w:p>
            <w:pPr>
              <w:ind w:firstLine="482"/>
              <w:contextualSpacing/>
              <w:rPr>
                <w:rFonts w:ascii="仿宋_GB2312" w:hAnsi="仿宋"/>
                <w:sz w:val="24"/>
                <w:szCs w:val="24"/>
              </w:rPr>
            </w:pPr>
            <w:r>
              <w:rPr>
                <w:rFonts w:hint="eastAsia" w:ascii="仿宋_GB2312" w:hAnsi="仿宋"/>
                <w:b/>
                <w:bCs/>
                <w:sz w:val="24"/>
                <w:szCs w:val="24"/>
              </w:rPr>
              <w:t>铜箔：</w:t>
            </w:r>
            <w:r>
              <w:rPr>
                <w:rFonts w:hint="eastAsia" w:ascii="仿宋_GB2312" w:hAnsi="仿宋"/>
                <w:sz w:val="24"/>
                <w:szCs w:val="24"/>
              </w:rPr>
              <w:t>嘉元科技、华鑫铜箔、铜冠铜箔、诺德股份、江西铜业、远东股份等</w:t>
            </w:r>
          </w:p>
          <w:p>
            <w:pPr>
              <w:ind w:firstLine="482"/>
              <w:contextualSpacing/>
            </w:pPr>
            <w:r>
              <w:rPr>
                <w:rFonts w:hint="eastAsia" w:ascii="仿宋_GB2312" w:hAnsi="仿宋"/>
                <w:b/>
                <w:bCs/>
                <w:sz w:val="24"/>
                <w:szCs w:val="24"/>
              </w:rPr>
              <w:t>铝箔：</w:t>
            </w:r>
            <w:r>
              <w:rPr>
                <w:rFonts w:hint="eastAsia" w:ascii="仿宋_GB2312" w:hAnsi="仿宋"/>
                <w:sz w:val="24"/>
                <w:szCs w:val="24"/>
              </w:rPr>
              <w:t>鼎胜新材、东阳光、明泰铝业、中国铝业、万顺新材、神火股份等</w:t>
            </w:r>
          </w:p>
        </w:tc>
      </w:tr>
      <w:bookmarkEnd w:id="54"/>
    </w:tbl>
    <w:p>
      <w:pPr>
        <w:pStyle w:val="4"/>
        <w:spacing w:before="480"/>
        <w:ind w:left="412"/>
        <w:contextualSpacing/>
      </w:pPr>
      <w:r>
        <w:rPr>
          <w:rFonts w:hint="eastAsia"/>
        </w:rPr>
        <w:t>（三）多元发展新能源电池配套体系</w:t>
      </w:r>
      <w:bookmarkEnd w:id="53"/>
    </w:p>
    <w:p>
      <w:pPr>
        <w:ind w:firstLine="560"/>
      </w:pPr>
      <w:r>
        <w:rPr>
          <w:rFonts w:hint="eastAsia"/>
        </w:rPr>
        <w:t>围绕新能源电池产业进行多元化布局，积极布局和拓展锂电设备、电池结构件、电源管理系统等配套产业，依托梅岭电源等具备军工先进技术背景的积极组织和搭建第三方电池检测平台，提升我省新能源电池产业的行业水平和地位。</w:t>
      </w:r>
    </w:p>
    <w:p>
      <w:pPr>
        <w:ind w:firstLine="562"/>
      </w:pPr>
      <w:r>
        <w:rPr>
          <w:rFonts w:hint="eastAsia"/>
          <w:b/>
          <w:bCs/>
        </w:rPr>
        <w:t>电池结构件。</w:t>
      </w:r>
      <w:r>
        <w:rPr>
          <w:rFonts w:hint="eastAsia"/>
        </w:rPr>
        <w:t>针对锂离子电池重点发展铝塑膜、极耳、钢壳、铝壳、盖帽等电池结构件产品的产业布局，加快引进一批部件生产型企业填补产业链空白，实现全链条发展格局。重点关注和突破轻薄化、耐电解液稳定性、阻隔性、冷冲压成型性、耐穿刺性等性能。针对燃料电池，重点发展空压机、循环泵等配套组件，实现技术突破和国产化替代。</w:t>
      </w:r>
    </w:p>
    <w:p>
      <w:pPr>
        <w:ind w:firstLine="562"/>
        <w:rPr>
          <w:b/>
          <w:bCs/>
        </w:rPr>
      </w:pPr>
      <w:r>
        <w:rPr>
          <w:rFonts w:hint="eastAsia"/>
          <w:b/>
          <w:bCs/>
        </w:rPr>
        <w:t>锂电设备。</w:t>
      </w:r>
      <w:r>
        <w:rPr>
          <w:rFonts w:hint="eastAsia"/>
        </w:rPr>
        <w:t>以充换电设备为基础，补链强链发展锂电关键设备。重点发展充换电设备的智能有序充电、大功率充电、无线充电等新型充电技术研发，换电设备、检测、调试、智能化充换电（站）桩等技术，规范无线充电设施电磁频谱使用，提高充电设施安全性、一致性、可靠性，提升服务保障水平。积极引进涂布机、辊压机、激光设备、检测设备等相关锂电设备环节，重点关注控制检测精度类技术、能量利用效率、温度/压力控制、自动化及系统集成等技术。</w:t>
      </w:r>
    </w:p>
    <w:p>
      <w:pPr>
        <w:ind w:firstLine="562"/>
      </w:pPr>
      <w:r>
        <w:rPr>
          <w:rFonts w:hint="eastAsia"/>
          <w:b/>
          <w:bCs/>
        </w:rPr>
        <w:t>电源管理系统。</w:t>
      </w:r>
      <w:r>
        <w:rPr>
          <w:rFonts w:hint="eastAsia"/>
        </w:rPr>
        <w:t>重点引进BMS系统开发相关企业，延伸发展新能源电池终端场景应用，采取“大数据+新能源”发展模式，建设新能源管理系统和新能源安全体系，重点在动力和储能电源的热管理系统BMS、充放平衡系统EMS、模组高度集成技术等领域形成突破。</w:t>
      </w:r>
    </w:p>
    <w:p>
      <w:pPr>
        <w:ind w:firstLine="562"/>
      </w:pPr>
      <w:r>
        <w:rPr>
          <w:rFonts w:hint="eastAsia"/>
          <w:b/>
          <w:bCs/>
        </w:rPr>
        <w:t>第三方电池及材料检测平台。</w:t>
      </w:r>
      <w:r>
        <w:rPr>
          <w:rFonts w:hint="eastAsia"/>
        </w:rPr>
        <w:t>基于重点企业的电池检测技术和平台优势，针对新能源电池和电池材料，建立第三方电池及材料检测平台，并积极推进其发展为高水平的国家级第三方电池检测平台。在电池方面，为电池单体、电池模块、电池系统提供电池容量、功率性能、安全性能等评估测试服务。在电池材料方面，可实现材料组分的定量分析和微观形貌的定性表征等检测服务。</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3" w:type="dxa"/>
          <w:left w:w="113" w:type="dxa"/>
          <w:bottom w:w="28" w:type="dxa"/>
          <w:right w:w="113" w:type="dxa"/>
        </w:tblCellMar>
      </w:tblPr>
      <w:tblGrid>
        <w:gridCol w:w="1271"/>
        <w:gridCol w:w="7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624" w:hRule="atLeast"/>
        </w:trPr>
        <w:tc>
          <w:tcPr>
            <w:tcW w:w="8834" w:type="dxa"/>
            <w:gridSpan w:val="2"/>
            <w:tcMar>
              <w:top w:w="113" w:type="dxa"/>
              <w:left w:w="113" w:type="dxa"/>
              <w:right w:w="113" w:type="dxa"/>
            </w:tcMar>
            <w:vAlign w:val="center"/>
          </w:tcPr>
          <w:p>
            <w:pPr>
              <w:ind w:firstLine="0" w:firstLineChars="0"/>
              <w:contextualSpacing/>
              <w:jc w:val="center"/>
              <w:rPr>
                <w:rFonts w:ascii="仿宋_GB2312" w:hAnsi="仿宋"/>
                <w:b/>
                <w:bCs/>
                <w:sz w:val="24"/>
                <w:szCs w:val="24"/>
              </w:rPr>
            </w:pPr>
            <w:r>
              <w:rPr>
                <w:rFonts w:hint="eastAsia" w:ascii="仿宋_GB2312" w:hAnsi="仿宋"/>
                <w:b/>
                <w:bCs/>
                <w:sz w:val="24"/>
                <w:szCs w:val="24"/>
              </w:rPr>
              <w:t>专栏 3-1 ：新能源电池配套产业发展重点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960" w:hRule="atLeast"/>
        </w:trPr>
        <w:tc>
          <w:tcPr>
            <w:tcW w:w="1271" w:type="dxa"/>
            <w:tcMar>
              <w:top w:w="113" w:type="dxa"/>
              <w:left w:w="113" w:type="dxa"/>
              <w:right w:w="113" w:type="dxa"/>
            </w:tcMar>
            <w:vAlign w:val="center"/>
          </w:tcPr>
          <w:p>
            <w:pPr>
              <w:ind w:firstLine="0" w:firstLineChars="0"/>
              <w:contextualSpacing/>
              <w:rPr>
                <w:rFonts w:ascii="仿宋_GB2312" w:hAnsi="仿宋"/>
                <w:b/>
                <w:bCs/>
                <w:sz w:val="24"/>
                <w:szCs w:val="24"/>
              </w:rPr>
            </w:pPr>
            <w:r>
              <w:rPr>
                <w:rFonts w:hint="eastAsia" w:ascii="仿宋_GB2312" w:hAnsi="仿宋"/>
                <w:b/>
                <w:bCs/>
                <w:sz w:val="24"/>
                <w:szCs w:val="24"/>
              </w:rPr>
              <w:t>重点方向</w:t>
            </w:r>
          </w:p>
        </w:tc>
        <w:tc>
          <w:tcPr>
            <w:tcW w:w="7563" w:type="dxa"/>
            <w:tcMar>
              <w:top w:w="113" w:type="dxa"/>
              <w:left w:w="113" w:type="dxa"/>
              <w:right w:w="113" w:type="dxa"/>
            </w:tcMar>
            <w:vAlign w:val="center"/>
          </w:tcPr>
          <w:p>
            <w:pPr>
              <w:ind w:firstLine="480"/>
              <w:contextualSpacing/>
              <w:rPr>
                <w:rFonts w:ascii="仿宋_GB2312" w:hAnsi="仿宋"/>
                <w:sz w:val="24"/>
                <w:szCs w:val="24"/>
              </w:rPr>
            </w:pPr>
            <w:r>
              <w:rPr>
                <w:rFonts w:hint="eastAsia" w:ascii="仿宋_GB2312" w:hAnsi="仿宋"/>
                <w:sz w:val="24"/>
                <w:szCs w:val="24"/>
              </w:rPr>
              <w:t>重点发展新能源电池结构件、锂电设备、电源管理系统等配套产业，搭建国家级第三方检测平台。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579" w:hRule="atLeast"/>
        </w:trPr>
        <w:tc>
          <w:tcPr>
            <w:tcW w:w="1271" w:type="dxa"/>
            <w:tcMar>
              <w:top w:w="113" w:type="dxa"/>
              <w:left w:w="113" w:type="dxa"/>
              <w:right w:w="113" w:type="dxa"/>
            </w:tcMar>
            <w:vAlign w:val="center"/>
          </w:tcPr>
          <w:p>
            <w:pPr>
              <w:ind w:firstLine="0" w:firstLineChars="0"/>
              <w:contextualSpacing/>
              <w:rPr>
                <w:rFonts w:ascii="仿宋_GB2312" w:hAnsi="仿宋"/>
                <w:b/>
                <w:bCs/>
                <w:sz w:val="24"/>
                <w:szCs w:val="24"/>
              </w:rPr>
            </w:pPr>
            <w:r>
              <w:rPr>
                <w:rFonts w:hint="eastAsia" w:ascii="仿宋_GB2312" w:hAnsi="仿宋"/>
                <w:b/>
                <w:bCs/>
                <w:sz w:val="24"/>
                <w:szCs w:val="24"/>
              </w:rPr>
              <w:t>重点区域</w:t>
            </w:r>
          </w:p>
        </w:tc>
        <w:tc>
          <w:tcPr>
            <w:tcW w:w="7563" w:type="dxa"/>
            <w:tcMar>
              <w:top w:w="113" w:type="dxa"/>
              <w:left w:w="113" w:type="dxa"/>
              <w:right w:w="113" w:type="dxa"/>
            </w:tcMar>
            <w:vAlign w:val="center"/>
          </w:tcPr>
          <w:p>
            <w:pPr>
              <w:ind w:firstLine="0" w:firstLineChars="0"/>
              <w:contextualSpacing/>
              <w:rPr>
                <w:rFonts w:ascii="仿宋_GB2312" w:hAnsi="仿宋"/>
                <w:sz w:val="24"/>
                <w:szCs w:val="24"/>
              </w:rPr>
            </w:pPr>
            <w:r>
              <w:rPr>
                <w:rFonts w:hint="eastAsia" w:ascii="仿宋_GB2312" w:hAnsi="仿宋"/>
                <w:sz w:val="24"/>
                <w:szCs w:val="24"/>
              </w:rPr>
              <w:t>贵阳贵安、遵义、六盘水、黔南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872" w:hRule="atLeast"/>
        </w:trPr>
        <w:tc>
          <w:tcPr>
            <w:tcW w:w="1271" w:type="dxa"/>
            <w:tcMar>
              <w:top w:w="113" w:type="dxa"/>
              <w:left w:w="113" w:type="dxa"/>
              <w:right w:w="113" w:type="dxa"/>
            </w:tcMar>
            <w:vAlign w:val="center"/>
          </w:tcPr>
          <w:p>
            <w:pPr>
              <w:ind w:firstLine="0" w:firstLineChars="0"/>
              <w:contextualSpacing/>
              <w:rPr>
                <w:rFonts w:ascii="仿宋_GB2312" w:hAnsi="仿宋"/>
                <w:b/>
                <w:bCs/>
                <w:sz w:val="24"/>
                <w:szCs w:val="24"/>
              </w:rPr>
            </w:pPr>
            <w:r>
              <w:rPr>
                <w:rFonts w:hint="eastAsia" w:ascii="仿宋_GB2312" w:hAnsi="仿宋"/>
                <w:b/>
                <w:bCs/>
                <w:sz w:val="24"/>
                <w:szCs w:val="24"/>
              </w:rPr>
              <w:t>重点企业</w:t>
            </w:r>
          </w:p>
        </w:tc>
        <w:tc>
          <w:tcPr>
            <w:tcW w:w="7563" w:type="dxa"/>
            <w:tcMar>
              <w:top w:w="113" w:type="dxa"/>
              <w:left w:w="113" w:type="dxa"/>
              <w:right w:w="113" w:type="dxa"/>
            </w:tcMar>
            <w:vAlign w:val="center"/>
          </w:tcPr>
          <w:p>
            <w:pPr>
              <w:ind w:firstLine="480"/>
              <w:contextualSpacing/>
              <w:rPr>
                <w:rFonts w:ascii="仿宋_GB2312" w:hAnsi="仿宋"/>
                <w:sz w:val="24"/>
                <w:szCs w:val="24"/>
              </w:rPr>
            </w:pPr>
            <w:r>
              <w:rPr>
                <w:rFonts w:hint="eastAsia" w:ascii="仿宋_GB2312" w:hAnsi="仿宋"/>
                <w:sz w:val="24"/>
                <w:szCs w:val="24"/>
              </w:rPr>
              <w:t>贵州玖行能源科技有限公司、贵州梅岭电源有限公司、清镇铝及铝加工产业园、贵州水城经开区铝产业园等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4105" w:hRule="atLeast"/>
        </w:trPr>
        <w:tc>
          <w:tcPr>
            <w:tcW w:w="1271" w:type="dxa"/>
            <w:tcMar>
              <w:top w:w="113" w:type="dxa"/>
              <w:left w:w="113" w:type="dxa"/>
              <w:right w:w="113" w:type="dxa"/>
            </w:tcMar>
            <w:vAlign w:val="center"/>
          </w:tcPr>
          <w:p>
            <w:pPr>
              <w:ind w:firstLine="0" w:firstLineChars="0"/>
              <w:contextualSpacing/>
              <w:rPr>
                <w:rFonts w:ascii="仿宋_GB2312" w:hAnsi="仿宋"/>
                <w:b/>
                <w:bCs/>
                <w:sz w:val="24"/>
                <w:szCs w:val="24"/>
              </w:rPr>
            </w:pPr>
            <w:r>
              <w:rPr>
                <w:rFonts w:hint="eastAsia" w:ascii="仿宋_GB2312" w:hAnsi="仿宋"/>
                <w:b/>
                <w:bCs/>
                <w:sz w:val="24"/>
                <w:szCs w:val="24"/>
              </w:rPr>
              <w:t>发展途径</w:t>
            </w:r>
          </w:p>
        </w:tc>
        <w:tc>
          <w:tcPr>
            <w:tcW w:w="7563" w:type="dxa"/>
            <w:tcMar>
              <w:top w:w="113" w:type="dxa"/>
              <w:left w:w="113" w:type="dxa"/>
              <w:right w:w="113" w:type="dxa"/>
            </w:tcMar>
            <w:vAlign w:val="center"/>
          </w:tcPr>
          <w:p>
            <w:pPr>
              <w:ind w:firstLine="482"/>
              <w:contextualSpacing/>
              <w:rPr>
                <w:rFonts w:ascii="仿宋_GB2312" w:hAnsi="仿宋"/>
                <w:sz w:val="24"/>
                <w:szCs w:val="24"/>
              </w:rPr>
            </w:pPr>
            <w:r>
              <w:rPr>
                <w:rFonts w:hint="eastAsia" w:ascii="仿宋_GB2312" w:hAnsi="仿宋"/>
                <w:b/>
                <w:bCs/>
                <w:sz w:val="24"/>
                <w:szCs w:val="24"/>
              </w:rPr>
              <w:t>电池结构件。</w:t>
            </w:r>
            <w:r>
              <w:rPr>
                <w:rFonts w:hint="eastAsia" w:ascii="仿宋_GB2312" w:hAnsi="仿宋"/>
                <w:sz w:val="24"/>
                <w:szCs w:val="24"/>
              </w:rPr>
              <w:t>以贵安·清镇协同产业园、贵州水城经开区铝产业园等基础，进一步推进铝产业的精深加工，形成省内铝壳、铝塑膜的生产能力。依托梅岭电源，进行燃料电池相关组件的技术突破和产业化。依托贵州石鑫玄武岩科技有限公司，加快推进玄武岩纤维复合电池壳发展。</w:t>
            </w:r>
          </w:p>
          <w:p>
            <w:pPr>
              <w:ind w:firstLine="482"/>
              <w:contextualSpacing/>
              <w:rPr>
                <w:rFonts w:ascii="仿宋_GB2312" w:hAnsi="仿宋"/>
                <w:sz w:val="24"/>
                <w:szCs w:val="24"/>
              </w:rPr>
            </w:pPr>
            <w:r>
              <w:rPr>
                <w:rFonts w:hint="eastAsia" w:ascii="仿宋_GB2312" w:hAnsi="仿宋"/>
                <w:b/>
                <w:bCs/>
                <w:sz w:val="24"/>
                <w:szCs w:val="24"/>
              </w:rPr>
              <w:t>锂电设备。</w:t>
            </w:r>
            <w:r>
              <w:rPr>
                <w:rFonts w:hint="eastAsia" w:ascii="仿宋_GB2312" w:hAnsi="仿宋"/>
                <w:sz w:val="24"/>
                <w:szCs w:val="24"/>
              </w:rPr>
              <w:t>以贵州玖行等企业为基础，加快推进我省现有充换电设施项目建设。积极引入国内外先进锂电设备企业，补强新能源电池智能装备短板，推进智能化制造成套装备产业化，提升装备精度的稳定性和可靠性以及智能化水平，有效满足电池生产制造、资源回收利用的需求。</w:t>
            </w:r>
          </w:p>
          <w:p>
            <w:pPr>
              <w:ind w:firstLine="482"/>
              <w:contextualSpacing/>
              <w:rPr>
                <w:rFonts w:ascii="仿宋_GB2312" w:hAnsi="仿宋"/>
                <w:b/>
                <w:bCs/>
                <w:sz w:val="24"/>
                <w:szCs w:val="24"/>
              </w:rPr>
            </w:pPr>
            <w:r>
              <w:rPr>
                <w:rFonts w:hint="eastAsia" w:ascii="仿宋_GB2312" w:hAnsi="仿宋"/>
                <w:b/>
                <w:bCs/>
                <w:sz w:val="24"/>
                <w:szCs w:val="24"/>
              </w:rPr>
              <w:t>电源管理系统。</w:t>
            </w:r>
            <w:r>
              <w:rPr>
                <w:rFonts w:hint="eastAsia" w:ascii="仿宋_GB2312" w:hAnsi="仿宋"/>
                <w:sz w:val="24"/>
                <w:szCs w:val="24"/>
              </w:rPr>
              <w:t>依托我省大数据产业优势，打造“大数据+新能源”的发展模式，重点引进电源管理系统等项目。</w:t>
            </w:r>
          </w:p>
        </w:tc>
      </w:tr>
    </w:tbl>
    <w:p>
      <w:pPr>
        <w:ind w:firstLine="0" w:firstLineChars="0"/>
      </w:pP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98"/>
        <w:gridCol w:w="7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trPr>
        <w:tc>
          <w:tcPr>
            <w:tcW w:w="5000" w:type="pct"/>
            <w:gridSpan w:val="2"/>
            <w:tcMar>
              <w:top w:w="113" w:type="dxa"/>
              <w:left w:w="113" w:type="dxa"/>
              <w:right w:w="113" w:type="dxa"/>
            </w:tcMar>
            <w:vAlign w:val="center"/>
          </w:tcPr>
          <w:p>
            <w:pPr>
              <w:spacing w:line="240" w:lineRule="auto"/>
              <w:ind w:firstLine="0" w:firstLineChars="0"/>
              <w:contextualSpacing/>
              <w:jc w:val="center"/>
              <w:rPr>
                <w:rFonts w:ascii="仿宋_GB2312" w:hAnsi="仿宋"/>
                <w:b/>
                <w:bCs/>
                <w:sz w:val="24"/>
                <w:szCs w:val="24"/>
              </w:rPr>
            </w:pPr>
            <w:r>
              <w:rPr>
                <w:rFonts w:hint="eastAsia" w:ascii="仿宋_GB2312" w:hAnsi="仿宋"/>
                <w:b/>
                <w:bCs/>
                <w:sz w:val="24"/>
                <w:szCs w:val="24"/>
              </w:rPr>
              <w:t>招商专栏 3-2 ：新能源电池配套产业招商路径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8" w:hRule="atLeast"/>
        </w:trPr>
        <w:tc>
          <w:tcPr>
            <w:tcW w:w="936" w:type="pct"/>
            <w:tcMar>
              <w:top w:w="113" w:type="dxa"/>
              <w:left w:w="113" w:type="dxa"/>
              <w:right w:w="113" w:type="dxa"/>
            </w:tcMar>
            <w:vAlign w:val="center"/>
          </w:tcPr>
          <w:p>
            <w:pPr>
              <w:spacing w:line="240" w:lineRule="auto"/>
              <w:ind w:firstLine="0" w:firstLineChars="0"/>
              <w:jc w:val="center"/>
              <w:rPr>
                <w:rFonts w:ascii="仿宋_GB2312" w:hAnsi="仿宋"/>
                <w:b/>
                <w:bCs/>
                <w:sz w:val="24"/>
                <w:szCs w:val="24"/>
              </w:rPr>
            </w:pPr>
            <w:r>
              <w:rPr>
                <w:rFonts w:hint="eastAsia" w:ascii="仿宋_GB2312" w:hAnsi="仿宋"/>
                <w:b/>
                <w:bCs/>
                <w:sz w:val="24"/>
                <w:szCs w:val="24"/>
              </w:rPr>
              <w:t>重点方向</w:t>
            </w:r>
          </w:p>
        </w:tc>
        <w:tc>
          <w:tcPr>
            <w:tcW w:w="4064" w:type="pct"/>
            <w:tcMar>
              <w:top w:w="113" w:type="dxa"/>
              <w:left w:w="113" w:type="dxa"/>
              <w:right w:w="113" w:type="dxa"/>
            </w:tcMar>
            <w:vAlign w:val="center"/>
          </w:tcPr>
          <w:p>
            <w:pPr>
              <w:ind w:firstLine="480"/>
              <w:contextualSpacing/>
              <w:rPr>
                <w:rFonts w:ascii="仿宋_GB2312" w:hAnsi="仿宋"/>
                <w:sz w:val="24"/>
                <w:szCs w:val="24"/>
              </w:rPr>
            </w:pPr>
            <w:r>
              <w:rPr>
                <w:rFonts w:hint="eastAsia" w:ascii="仿宋_GB2312" w:hAnsi="仿宋"/>
                <w:sz w:val="24"/>
                <w:szCs w:val="24"/>
              </w:rPr>
              <w:t>重点引入现有成熟的锂离子电池和氢燃料电池产业链配套相关企业，实现产业链配套融合发展。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39" w:hRule="atLeast"/>
        </w:trPr>
        <w:tc>
          <w:tcPr>
            <w:tcW w:w="936" w:type="pct"/>
            <w:tcMar>
              <w:top w:w="113" w:type="dxa"/>
              <w:left w:w="113" w:type="dxa"/>
              <w:right w:w="113" w:type="dxa"/>
            </w:tcMar>
            <w:vAlign w:val="center"/>
          </w:tcPr>
          <w:p>
            <w:pPr>
              <w:spacing w:line="240" w:lineRule="auto"/>
              <w:ind w:firstLine="0" w:firstLineChars="0"/>
              <w:jc w:val="center"/>
              <w:rPr>
                <w:rFonts w:ascii="仿宋_GB2312" w:hAnsi="仿宋"/>
                <w:b/>
                <w:bCs/>
                <w:sz w:val="24"/>
                <w:szCs w:val="24"/>
              </w:rPr>
            </w:pPr>
            <w:r>
              <w:rPr>
                <w:rFonts w:hint="eastAsia" w:ascii="仿宋_GB2312" w:hAnsi="仿宋"/>
                <w:b/>
                <w:bCs/>
                <w:sz w:val="24"/>
                <w:szCs w:val="24"/>
              </w:rPr>
              <w:t>潜在招商企业</w:t>
            </w:r>
          </w:p>
        </w:tc>
        <w:tc>
          <w:tcPr>
            <w:tcW w:w="4064" w:type="pct"/>
            <w:tcMar>
              <w:top w:w="113" w:type="dxa"/>
              <w:left w:w="113" w:type="dxa"/>
              <w:right w:w="113" w:type="dxa"/>
            </w:tcMar>
            <w:vAlign w:val="center"/>
          </w:tcPr>
          <w:p>
            <w:pPr>
              <w:ind w:firstLine="482"/>
              <w:contextualSpacing/>
              <w:rPr>
                <w:rFonts w:ascii="仿宋_GB2312" w:hAnsi="仿宋"/>
                <w:sz w:val="24"/>
                <w:szCs w:val="24"/>
              </w:rPr>
            </w:pPr>
            <w:r>
              <w:rPr>
                <w:rFonts w:hint="eastAsia" w:ascii="仿宋_GB2312" w:hAnsi="仿宋"/>
                <w:b/>
                <w:bCs/>
                <w:sz w:val="24"/>
                <w:szCs w:val="24"/>
              </w:rPr>
              <w:t>电池结构件：</w:t>
            </w:r>
            <w:r>
              <w:rPr>
                <w:rFonts w:hint="eastAsia" w:ascii="仿宋_GB2312" w:hAnsi="仿宋"/>
                <w:sz w:val="24"/>
                <w:szCs w:val="24"/>
              </w:rPr>
              <w:t>欣旺达、德赛电池、震裕科技、科达利、明冠新材、新纶科技、道明光学、紫江新材料等</w:t>
            </w:r>
          </w:p>
          <w:p>
            <w:pPr>
              <w:ind w:firstLine="482"/>
              <w:contextualSpacing/>
              <w:rPr>
                <w:rFonts w:ascii="仿宋_GB2312" w:hAnsi="仿宋"/>
                <w:sz w:val="24"/>
                <w:szCs w:val="24"/>
              </w:rPr>
            </w:pPr>
            <w:r>
              <w:rPr>
                <w:rFonts w:hint="eastAsia" w:ascii="仿宋_GB2312" w:hAnsi="仿宋"/>
                <w:b/>
                <w:bCs/>
                <w:sz w:val="24"/>
                <w:szCs w:val="24"/>
              </w:rPr>
              <w:t>锂电设备：</w:t>
            </w:r>
            <w:r>
              <w:rPr>
                <w:rFonts w:hint="eastAsia" w:ascii="仿宋_GB2312" w:hAnsi="仿宋"/>
                <w:sz w:val="24"/>
                <w:szCs w:val="24"/>
              </w:rPr>
              <w:t>先导智能、赢合科技、杭可科技、利元亨、大族激光、璞泰来、海目星、先惠技术、联赢激光、福能东方等</w:t>
            </w:r>
          </w:p>
          <w:p>
            <w:pPr>
              <w:ind w:firstLine="482"/>
              <w:contextualSpacing/>
              <w:rPr>
                <w:rFonts w:ascii="仿宋_GB2312" w:hAnsi="仿宋"/>
                <w:sz w:val="24"/>
                <w:szCs w:val="24"/>
              </w:rPr>
            </w:pPr>
            <w:r>
              <w:rPr>
                <w:rFonts w:hint="eastAsia" w:ascii="仿宋_GB2312" w:hAnsi="仿宋"/>
                <w:b/>
                <w:bCs/>
                <w:sz w:val="24"/>
                <w:szCs w:val="24"/>
              </w:rPr>
              <w:t>电源管理系统：</w:t>
            </w:r>
            <w:r>
              <w:rPr>
                <w:rFonts w:hint="eastAsia" w:ascii="仿宋_GB2312" w:hAnsi="仿宋"/>
                <w:sz w:val="24"/>
                <w:szCs w:val="24"/>
              </w:rPr>
              <w:t>安科瑞、施耐德、天通股份、圣邦股份等</w:t>
            </w:r>
          </w:p>
        </w:tc>
      </w:tr>
    </w:tbl>
    <w:p>
      <w:pPr>
        <w:pStyle w:val="4"/>
        <w:spacing w:before="480"/>
        <w:ind w:left="412"/>
        <w:contextualSpacing/>
      </w:pPr>
      <w:bookmarkStart w:id="55" w:name="_Toc118298133"/>
      <w:r>
        <w:rPr>
          <w:rFonts w:hint="eastAsia"/>
        </w:rPr>
        <w:t>（四）加快打造电池回收产业新优势</w:t>
      </w:r>
      <w:bookmarkEnd w:id="55"/>
    </w:p>
    <w:p>
      <w:pPr>
        <w:ind w:firstLine="560"/>
      </w:pPr>
      <w:r>
        <w:rPr>
          <w:rFonts w:hint="eastAsia"/>
        </w:rPr>
        <w:t>在已有的“原矿—新能源电池材料—能源电池—新能源电池应用”产业链基础上建立电池回收和梯次利用环节，优化产业布局，形成新能源产业闭环，推动新能源电池全价值链发展，解决我省锂、镍、钴等资源的稀缺问题，同时缓释因供应不足带来的价格激增现象。</w:t>
      </w:r>
    </w:p>
    <w:p>
      <w:pPr>
        <w:ind w:firstLine="562"/>
      </w:pPr>
      <w:r>
        <w:rPr>
          <w:rFonts w:hint="eastAsia"/>
          <w:b/>
          <w:bCs/>
        </w:rPr>
        <w:t>设置回收站点，构建回收渠道。</w:t>
      </w:r>
      <w:r>
        <w:rPr>
          <w:rFonts w:hint="eastAsia"/>
        </w:rPr>
        <w:t>发展以企业为主体，政府多角度、全方位引导的回收循环体系，建立健全电池回收网络系统，形成回收企业自建、回收企业与车企及电池企业合作、以及第三方回收等多渠道回收平台，维持阳光化、透明化、正规化的市场秩序。</w:t>
      </w:r>
    </w:p>
    <w:p>
      <w:pPr>
        <w:ind w:firstLine="562"/>
      </w:pPr>
      <w:r>
        <w:rPr>
          <w:rFonts w:hint="eastAsia"/>
          <w:b/>
          <w:bCs/>
        </w:rPr>
        <w:t>发展先进技术，提升回收效率。</w:t>
      </w:r>
      <w:r>
        <w:rPr>
          <w:rFonts w:hint="eastAsia"/>
        </w:rPr>
        <w:t>引进先进技术，支持退役电池多维检测、柔性拆解、电池成组分析等一批关键技术攻关和推广应用，加快关键制造装备研发应用，提高工艺水平和生产质量；辅助新能源电池（以动力电池为主）生产企业、新能源汽车制造企业建立新能源电池全生命周期溯源管理系统，打造回收效率高、回收品类多、回收废弃物少的新能源电池回收体系。</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3" w:type="dxa"/>
          <w:left w:w="113" w:type="dxa"/>
          <w:bottom w:w="28" w:type="dxa"/>
          <w:right w:w="113" w:type="dxa"/>
        </w:tblCellMar>
      </w:tblPr>
      <w:tblGrid>
        <w:gridCol w:w="1304"/>
        <w:gridCol w:w="7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624" w:hRule="atLeast"/>
        </w:trPr>
        <w:tc>
          <w:tcPr>
            <w:tcW w:w="5000" w:type="pct"/>
            <w:gridSpan w:val="2"/>
            <w:tcMar>
              <w:top w:w="113" w:type="dxa"/>
              <w:left w:w="113" w:type="dxa"/>
              <w:right w:w="113" w:type="dxa"/>
            </w:tcMar>
            <w:vAlign w:val="center"/>
          </w:tcPr>
          <w:p>
            <w:pPr>
              <w:spacing w:line="240" w:lineRule="auto"/>
              <w:ind w:firstLine="0" w:firstLineChars="0"/>
              <w:contextualSpacing/>
              <w:jc w:val="center"/>
              <w:rPr>
                <w:rFonts w:ascii="仿宋_GB2312" w:hAnsi="仿宋"/>
                <w:sz w:val="24"/>
                <w:szCs w:val="24"/>
              </w:rPr>
            </w:pPr>
            <w:r>
              <w:rPr>
                <w:rFonts w:hint="eastAsia" w:ascii="仿宋_GB2312" w:hAnsi="仿宋"/>
                <w:b/>
                <w:bCs/>
                <w:sz w:val="24"/>
                <w:szCs w:val="24"/>
              </w:rPr>
              <w:t>专栏 4-1 ：新能源电池回收产业发展重点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551" w:hRule="atLeast"/>
        </w:trPr>
        <w:tc>
          <w:tcPr>
            <w:tcW w:w="719" w:type="pct"/>
            <w:tcMar>
              <w:top w:w="113" w:type="dxa"/>
              <w:left w:w="113" w:type="dxa"/>
              <w:right w:w="113" w:type="dxa"/>
            </w:tcMar>
            <w:vAlign w:val="center"/>
          </w:tcPr>
          <w:p>
            <w:pPr>
              <w:spacing w:line="240" w:lineRule="auto"/>
              <w:ind w:firstLine="0" w:firstLineChars="0"/>
              <w:contextualSpacing/>
              <w:jc w:val="center"/>
              <w:rPr>
                <w:rFonts w:ascii="仿宋_GB2312" w:hAnsi="仿宋"/>
                <w:b/>
                <w:bCs/>
                <w:sz w:val="24"/>
                <w:szCs w:val="24"/>
              </w:rPr>
            </w:pPr>
            <w:r>
              <w:rPr>
                <w:rFonts w:hint="eastAsia" w:ascii="仿宋_GB2312" w:hAnsi="仿宋"/>
                <w:b/>
                <w:bCs/>
                <w:sz w:val="24"/>
                <w:szCs w:val="24"/>
              </w:rPr>
              <w:t>重点方向</w:t>
            </w:r>
          </w:p>
        </w:tc>
        <w:tc>
          <w:tcPr>
            <w:tcW w:w="4281" w:type="pct"/>
            <w:tcMar>
              <w:top w:w="113" w:type="dxa"/>
              <w:left w:w="113" w:type="dxa"/>
              <w:right w:w="113" w:type="dxa"/>
            </w:tcMar>
            <w:vAlign w:val="center"/>
          </w:tcPr>
          <w:p>
            <w:pPr>
              <w:spacing w:line="240" w:lineRule="auto"/>
              <w:ind w:firstLine="0" w:firstLineChars="0"/>
              <w:contextualSpacing/>
              <w:rPr>
                <w:rFonts w:ascii="仿宋_GB2312" w:hAnsi="仿宋"/>
                <w:sz w:val="24"/>
                <w:szCs w:val="24"/>
              </w:rPr>
            </w:pPr>
            <w:r>
              <w:rPr>
                <w:rFonts w:hint="eastAsia" w:ascii="仿宋_GB2312" w:hAnsi="仿宋"/>
                <w:sz w:val="24"/>
                <w:szCs w:val="24"/>
              </w:rPr>
              <w:t>建立健全电池回收网络体系，引入先进技术，提升回收效率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561" w:hRule="atLeast"/>
        </w:trPr>
        <w:tc>
          <w:tcPr>
            <w:tcW w:w="719" w:type="pct"/>
            <w:tcMar>
              <w:top w:w="113" w:type="dxa"/>
              <w:left w:w="113" w:type="dxa"/>
              <w:right w:w="113" w:type="dxa"/>
            </w:tcMar>
            <w:vAlign w:val="center"/>
          </w:tcPr>
          <w:p>
            <w:pPr>
              <w:spacing w:line="240" w:lineRule="auto"/>
              <w:ind w:firstLine="0" w:firstLineChars="0"/>
              <w:contextualSpacing/>
              <w:jc w:val="center"/>
              <w:rPr>
                <w:rFonts w:ascii="仿宋_GB2312" w:hAnsi="仿宋"/>
                <w:b/>
                <w:bCs/>
                <w:sz w:val="24"/>
                <w:szCs w:val="24"/>
              </w:rPr>
            </w:pPr>
            <w:r>
              <w:rPr>
                <w:rFonts w:hint="eastAsia" w:ascii="仿宋_GB2312" w:hAnsi="仿宋"/>
                <w:b/>
                <w:bCs/>
                <w:sz w:val="24"/>
                <w:szCs w:val="24"/>
              </w:rPr>
              <w:t>重点区域</w:t>
            </w:r>
          </w:p>
        </w:tc>
        <w:tc>
          <w:tcPr>
            <w:tcW w:w="4281" w:type="pct"/>
            <w:tcMar>
              <w:top w:w="113" w:type="dxa"/>
              <w:left w:w="113" w:type="dxa"/>
              <w:right w:w="113" w:type="dxa"/>
            </w:tcMar>
            <w:vAlign w:val="center"/>
          </w:tcPr>
          <w:p>
            <w:pPr>
              <w:spacing w:line="240" w:lineRule="auto"/>
              <w:ind w:firstLine="0" w:firstLineChars="0"/>
              <w:contextualSpacing/>
              <w:rPr>
                <w:rFonts w:ascii="仿宋_GB2312" w:hAnsi="仿宋"/>
                <w:sz w:val="24"/>
                <w:szCs w:val="24"/>
              </w:rPr>
            </w:pPr>
            <w:r>
              <w:rPr>
                <w:rFonts w:hint="eastAsia" w:ascii="仿宋_GB2312" w:hAnsi="仿宋"/>
                <w:sz w:val="24"/>
                <w:szCs w:val="24"/>
              </w:rPr>
              <w:t>铜仁市、贵阳市、毕节市、黔东南、</w:t>
            </w:r>
            <w:r>
              <w:rPr>
                <w:rFonts w:hint="eastAsia" w:ascii="仿宋_GB2312" w:hAnsi="仿宋"/>
                <w:color w:val="FF0000"/>
                <w:sz w:val="24"/>
                <w:szCs w:val="24"/>
              </w:rPr>
              <w:t>黔南、六盘水、黔西南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554" w:hRule="atLeast"/>
        </w:trPr>
        <w:tc>
          <w:tcPr>
            <w:tcW w:w="719" w:type="pct"/>
            <w:tcMar>
              <w:top w:w="113" w:type="dxa"/>
              <w:left w:w="113" w:type="dxa"/>
              <w:right w:w="113" w:type="dxa"/>
            </w:tcMar>
            <w:vAlign w:val="center"/>
          </w:tcPr>
          <w:p>
            <w:pPr>
              <w:spacing w:line="240" w:lineRule="auto"/>
              <w:ind w:firstLine="0" w:firstLineChars="0"/>
              <w:contextualSpacing/>
              <w:jc w:val="center"/>
              <w:rPr>
                <w:rFonts w:ascii="仿宋_GB2312" w:hAnsi="仿宋"/>
                <w:b/>
                <w:bCs/>
                <w:sz w:val="24"/>
                <w:szCs w:val="24"/>
              </w:rPr>
            </w:pPr>
            <w:r>
              <w:rPr>
                <w:rFonts w:hint="eastAsia" w:ascii="仿宋_GB2312" w:hAnsi="仿宋"/>
                <w:b/>
                <w:bCs/>
                <w:sz w:val="24"/>
                <w:szCs w:val="24"/>
              </w:rPr>
              <w:t>重点企业</w:t>
            </w:r>
          </w:p>
        </w:tc>
        <w:tc>
          <w:tcPr>
            <w:tcW w:w="4281" w:type="pct"/>
            <w:tcMar>
              <w:top w:w="113" w:type="dxa"/>
              <w:left w:w="113" w:type="dxa"/>
              <w:right w:w="113" w:type="dxa"/>
            </w:tcMar>
            <w:vAlign w:val="center"/>
          </w:tcPr>
          <w:p>
            <w:pPr>
              <w:spacing w:line="240" w:lineRule="auto"/>
              <w:ind w:firstLine="0" w:firstLineChars="0"/>
              <w:contextualSpacing/>
              <w:rPr>
                <w:rFonts w:ascii="仿宋_GB2312" w:hAnsi="仿宋"/>
                <w:sz w:val="24"/>
                <w:szCs w:val="24"/>
              </w:rPr>
            </w:pPr>
            <w:r>
              <w:rPr>
                <w:rFonts w:hint="eastAsia" w:ascii="仿宋_GB2312" w:hAnsi="仿宋"/>
                <w:sz w:val="24"/>
                <w:szCs w:val="24"/>
              </w:rPr>
              <w:t>中伟循环、安达科技、锦宏新材、唯特高新能源、贵州锦尚新材料、贵州鑫茂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3047" w:hRule="atLeast"/>
        </w:trPr>
        <w:tc>
          <w:tcPr>
            <w:tcW w:w="719" w:type="pct"/>
            <w:tcMar>
              <w:top w:w="113" w:type="dxa"/>
              <w:left w:w="113" w:type="dxa"/>
              <w:right w:w="113" w:type="dxa"/>
            </w:tcMar>
            <w:vAlign w:val="center"/>
          </w:tcPr>
          <w:p>
            <w:pPr>
              <w:spacing w:line="240" w:lineRule="auto"/>
              <w:ind w:firstLine="0" w:firstLineChars="0"/>
              <w:contextualSpacing/>
              <w:jc w:val="center"/>
              <w:rPr>
                <w:rFonts w:ascii="仿宋_GB2312" w:hAnsi="仿宋"/>
                <w:b/>
                <w:bCs/>
                <w:sz w:val="24"/>
                <w:szCs w:val="24"/>
              </w:rPr>
            </w:pPr>
            <w:r>
              <w:rPr>
                <w:rFonts w:hint="eastAsia" w:ascii="仿宋_GB2312" w:hAnsi="仿宋"/>
                <w:b/>
                <w:bCs/>
                <w:sz w:val="24"/>
                <w:szCs w:val="24"/>
              </w:rPr>
              <w:t>发展途径</w:t>
            </w:r>
          </w:p>
        </w:tc>
        <w:tc>
          <w:tcPr>
            <w:tcW w:w="4281" w:type="pct"/>
            <w:tcMar>
              <w:top w:w="113" w:type="dxa"/>
              <w:left w:w="113" w:type="dxa"/>
              <w:right w:w="113" w:type="dxa"/>
            </w:tcMar>
            <w:vAlign w:val="center"/>
          </w:tcPr>
          <w:p>
            <w:pPr>
              <w:ind w:firstLine="482"/>
              <w:contextualSpacing/>
              <w:rPr>
                <w:rFonts w:ascii="仿宋_GB2312" w:hAnsi="仿宋"/>
                <w:sz w:val="24"/>
                <w:szCs w:val="24"/>
              </w:rPr>
            </w:pPr>
            <w:r>
              <w:rPr>
                <w:rFonts w:hint="eastAsia" w:ascii="仿宋_GB2312" w:hAnsi="仿宋"/>
                <w:b/>
                <w:bCs/>
                <w:sz w:val="24"/>
                <w:szCs w:val="24"/>
              </w:rPr>
              <w:t>设置回收站点，构建回收渠道。</w:t>
            </w:r>
            <w:r>
              <w:rPr>
                <w:rFonts w:hint="eastAsia" w:ascii="仿宋_GB2312" w:hAnsi="仿宋"/>
                <w:sz w:val="24"/>
                <w:szCs w:val="24"/>
              </w:rPr>
              <w:t>依托现有4S店设立或新建电池回收网点，解决退役新能源电池流向问题，以中伟循环、安达科技等企业为主导，建立正规回收渠道，促进回收企业与省内电池材料生产企业、电池生产企业、整车企业之间的渠道搭建，并严格落实环保制度，阻断“小作坊”非正规回收作业。</w:t>
            </w:r>
          </w:p>
          <w:p>
            <w:pPr>
              <w:ind w:firstLine="482"/>
              <w:contextualSpacing/>
              <w:rPr>
                <w:rFonts w:ascii="仿宋_GB2312" w:hAnsi="仿宋"/>
                <w:sz w:val="24"/>
                <w:szCs w:val="24"/>
              </w:rPr>
            </w:pPr>
            <w:r>
              <w:rPr>
                <w:rFonts w:hint="eastAsia" w:ascii="仿宋_GB2312" w:hAnsi="仿宋"/>
                <w:b/>
                <w:bCs/>
                <w:sz w:val="24"/>
                <w:szCs w:val="24"/>
              </w:rPr>
              <w:t>发展先进技术，提升回收效率。</w:t>
            </w:r>
            <w:r>
              <w:rPr>
                <w:rFonts w:hint="eastAsia" w:ascii="仿宋_GB2312" w:hAnsi="仿宋"/>
                <w:sz w:val="24"/>
                <w:szCs w:val="24"/>
              </w:rPr>
              <w:t>支持动力电池智能化柔性拆解、加强电池余能检测、无损检测、安全性评估、残值评估。优化电池湿法回收技术，提升产品回收率，降低三废产生，并积极探索生物法回收等新技术。</w:t>
            </w:r>
          </w:p>
        </w:tc>
      </w:tr>
    </w:tbl>
    <w:p>
      <w:pPr>
        <w:ind w:firstLine="560"/>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3" w:type="dxa"/>
          <w:left w:w="113" w:type="dxa"/>
          <w:bottom w:w="28" w:type="dxa"/>
          <w:right w:w="113" w:type="dxa"/>
        </w:tblCellMar>
      </w:tblPr>
      <w:tblGrid>
        <w:gridCol w:w="1711"/>
        <w:gridCol w:w="7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624" w:hRule="atLeast"/>
        </w:trPr>
        <w:tc>
          <w:tcPr>
            <w:tcW w:w="8834" w:type="dxa"/>
            <w:gridSpan w:val="2"/>
            <w:tcMar>
              <w:top w:w="113" w:type="dxa"/>
              <w:left w:w="113" w:type="dxa"/>
              <w:right w:w="113" w:type="dxa"/>
            </w:tcMar>
            <w:vAlign w:val="center"/>
          </w:tcPr>
          <w:p>
            <w:pPr>
              <w:ind w:firstLine="0" w:firstLineChars="0"/>
              <w:contextualSpacing/>
              <w:jc w:val="center"/>
              <w:rPr>
                <w:rFonts w:ascii="仿宋_GB2312" w:hAnsi="仿宋"/>
                <w:b/>
                <w:bCs/>
                <w:sz w:val="24"/>
                <w:szCs w:val="24"/>
              </w:rPr>
            </w:pPr>
            <w:r>
              <w:rPr>
                <w:rFonts w:hint="eastAsia" w:ascii="仿宋_GB2312" w:hAnsi="仿宋"/>
                <w:b/>
                <w:bCs/>
                <w:sz w:val="24"/>
                <w:szCs w:val="24"/>
              </w:rPr>
              <w:t>招商专栏 4-2 ：新能源电池回收产业招商路径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940" w:hRule="atLeast"/>
        </w:trPr>
        <w:tc>
          <w:tcPr>
            <w:tcW w:w="1711" w:type="dxa"/>
            <w:tcMar>
              <w:top w:w="113" w:type="dxa"/>
              <w:left w:w="113" w:type="dxa"/>
              <w:right w:w="113" w:type="dxa"/>
            </w:tcMar>
            <w:vAlign w:val="center"/>
          </w:tcPr>
          <w:p>
            <w:pPr>
              <w:ind w:firstLine="0" w:firstLineChars="0"/>
              <w:contextualSpacing/>
              <w:jc w:val="center"/>
              <w:rPr>
                <w:rFonts w:ascii="仿宋_GB2312" w:hAnsi="仿宋"/>
                <w:b/>
                <w:bCs/>
                <w:sz w:val="24"/>
                <w:szCs w:val="24"/>
              </w:rPr>
            </w:pPr>
            <w:r>
              <w:rPr>
                <w:rFonts w:hint="eastAsia" w:ascii="仿宋_GB2312" w:hAnsi="仿宋"/>
                <w:b/>
                <w:bCs/>
                <w:sz w:val="24"/>
                <w:szCs w:val="24"/>
              </w:rPr>
              <w:t>重点方向</w:t>
            </w:r>
          </w:p>
        </w:tc>
        <w:tc>
          <w:tcPr>
            <w:tcW w:w="7123" w:type="dxa"/>
            <w:tcMar>
              <w:top w:w="113" w:type="dxa"/>
              <w:left w:w="113" w:type="dxa"/>
              <w:right w:w="113" w:type="dxa"/>
            </w:tcMar>
            <w:vAlign w:val="center"/>
          </w:tcPr>
          <w:p>
            <w:pPr>
              <w:ind w:firstLine="480"/>
              <w:contextualSpacing/>
              <w:rPr>
                <w:rFonts w:ascii="仿宋_GB2312" w:hAnsi="仿宋"/>
                <w:sz w:val="24"/>
                <w:szCs w:val="24"/>
              </w:rPr>
            </w:pPr>
            <w:r>
              <w:rPr>
                <w:rFonts w:hint="eastAsia" w:ascii="仿宋_GB2312" w:hAnsi="仿宋"/>
                <w:sz w:val="24"/>
                <w:szCs w:val="24"/>
              </w:rPr>
              <w:t>针对性引入电池回收产能规模大、经济效益好的白名单企业，同时进行三元电池再生利用和磷酸铁锂电池的梯次利用。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1538" w:hRule="atLeast"/>
        </w:trPr>
        <w:tc>
          <w:tcPr>
            <w:tcW w:w="1711" w:type="dxa"/>
            <w:tcMar>
              <w:top w:w="113" w:type="dxa"/>
              <w:left w:w="113" w:type="dxa"/>
              <w:right w:w="113" w:type="dxa"/>
            </w:tcMar>
            <w:vAlign w:val="center"/>
          </w:tcPr>
          <w:p>
            <w:pPr>
              <w:ind w:firstLine="0" w:firstLineChars="0"/>
              <w:contextualSpacing/>
              <w:jc w:val="center"/>
              <w:rPr>
                <w:rFonts w:ascii="仿宋_GB2312" w:hAnsi="仿宋"/>
                <w:b/>
                <w:bCs/>
                <w:sz w:val="24"/>
                <w:szCs w:val="24"/>
              </w:rPr>
            </w:pPr>
            <w:r>
              <w:rPr>
                <w:rFonts w:hint="eastAsia" w:ascii="仿宋_GB2312" w:hAnsi="仿宋"/>
                <w:b/>
                <w:bCs/>
                <w:sz w:val="24"/>
                <w:szCs w:val="24"/>
              </w:rPr>
              <w:t>潜在招商企业</w:t>
            </w:r>
          </w:p>
        </w:tc>
        <w:tc>
          <w:tcPr>
            <w:tcW w:w="7123" w:type="dxa"/>
            <w:tcMar>
              <w:top w:w="113" w:type="dxa"/>
              <w:left w:w="113" w:type="dxa"/>
              <w:right w:w="113" w:type="dxa"/>
            </w:tcMar>
            <w:vAlign w:val="center"/>
          </w:tcPr>
          <w:p>
            <w:pPr>
              <w:ind w:firstLine="482"/>
              <w:contextualSpacing/>
              <w:rPr>
                <w:rFonts w:ascii="仿宋_GB2312" w:hAnsi="仿宋"/>
                <w:sz w:val="24"/>
                <w:szCs w:val="24"/>
              </w:rPr>
            </w:pPr>
            <w:r>
              <w:rPr>
                <w:rFonts w:hint="eastAsia" w:ascii="仿宋_GB2312" w:hAnsi="仿宋"/>
                <w:b/>
                <w:bCs/>
                <w:sz w:val="24"/>
                <w:szCs w:val="24"/>
              </w:rPr>
              <w:t>回收拆解：</w:t>
            </w:r>
            <w:r>
              <w:rPr>
                <w:rFonts w:hint="eastAsia" w:ascii="仿宋_GB2312" w:hAnsi="仿宋"/>
                <w:sz w:val="24"/>
                <w:szCs w:val="24"/>
              </w:rPr>
              <w:t>邦普循环、格林美、赣州豪鹏、华友循环、芳源环保、赣锋循环、光华科技、湖南鸿捷、金源新材料等</w:t>
            </w:r>
          </w:p>
          <w:p>
            <w:pPr>
              <w:ind w:firstLine="482"/>
              <w:contextualSpacing/>
              <w:rPr>
                <w:rFonts w:ascii="仿宋_GB2312" w:hAnsi="仿宋"/>
                <w:sz w:val="24"/>
                <w:szCs w:val="24"/>
              </w:rPr>
            </w:pPr>
            <w:r>
              <w:rPr>
                <w:rFonts w:hint="eastAsia" w:ascii="仿宋_GB2312" w:hAnsi="仿宋"/>
                <w:b/>
                <w:bCs/>
                <w:sz w:val="24"/>
                <w:szCs w:val="24"/>
              </w:rPr>
              <w:t>梯次利用：</w:t>
            </w:r>
            <w:r>
              <w:rPr>
                <w:rFonts w:hint="eastAsia" w:ascii="仿宋_GB2312" w:hAnsi="仿宋"/>
                <w:sz w:val="24"/>
                <w:szCs w:val="24"/>
              </w:rPr>
              <w:t>中航锂电、威能环保、中国铁塔、北汽鹏龙、泰尔股份、中天鸿锂等</w:t>
            </w:r>
          </w:p>
        </w:tc>
      </w:tr>
    </w:tbl>
    <w:p>
      <w:pPr>
        <w:pStyle w:val="4"/>
        <w:spacing w:before="480"/>
        <w:ind w:left="412"/>
        <w:contextualSpacing/>
      </w:pPr>
      <w:bookmarkStart w:id="56" w:name="_Toc118298134"/>
      <w:r>
        <w:rPr>
          <w:rFonts w:hint="eastAsia"/>
        </w:rPr>
        <w:t>（五）科学推进绿色低碳与智能制造</w:t>
      </w:r>
      <w:bookmarkEnd w:id="56"/>
    </w:p>
    <w:p>
      <w:pPr>
        <w:ind w:firstLine="560"/>
      </w:pPr>
      <w:r>
        <w:rPr>
          <w:rFonts w:hint="eastAsia"/>
        </w:rPr>
        <w:t>依托贵州省大数据产业发展优势，积极推进锂电产业链智能化产业升级，鼓励企业构建标准化、透明化、可视化的工厂管理体系，打造具有数字化、网络化、智能化的工业互联网平台，打造贵州省“E+互联网”智能制造工厂。</w:t>
      </w:r>
    </w:p>
    <w:p>
      <w:pPr>
        <w:ind w:firstLine="562"/>
        <w:rPr>
          <w:b/>
          <w:bCs/>
        </w:rPr>
      </w:pPr>
      <w:r>
        <w:rPr>
          <w:rFonts w:hint="eastAsia"/>
          <w:b/>
          <w:bCs/>
        </w:rPr>
        <w:t>能源智能化管理。</w:t>
      </w:r>
      <w:r>
        <w:rPr>
          <w:rFonts w:hint="eastAsia"/>
        </w:rPr>
        <w:t>重点建立全省能源及碳管理体系，构建全省新能源电池及材料产业的能耗及碳数据的采集、存储、统计分析、节能诊断、优化控制的综合管理系统，全面监测和管理全省能源管理，提高资源和能源利用效率，推进节能减排的科学管理。以省内电池企业为主体，通过推动合作企业掌握能源管理标准体系和产品碳足迹核算方法等规范，带动全省新能源电池及材料产业链企业整体碳排放降低。</w:t>
      </w:r>
    </w:p>
    <w:p>
      <w:pPr>
        <w:ind w:firstLine="562"/>
      </w:pPr>
      <w:r>
        <w:rPr>
          <w:rFonts w:hint="eastAsia"/>
          <w:b/>
          <w:bCs/>
        </w:rPr>
        <w:t>智能化改造。</w:t>
      </w:r>
      <w:r>
        <w:rPr>
          <w:rFonts w:hint="eastAsia"/>
        </w:rPr>
        <w:t>出台相关补贴和鼓励政策，引导企业进行设备自动化、配方管理系统以及系统集成平台改造，构建设备管理一体化解决方案，实现360°全方位、全生命周期管理与监控。重点推进宁德时代、比亚迪、振华科技、容百科技、磷化集团等企业智能化改造，通过龙头企业的示范作用，引导全省其他新能源电池及材料产业相关企业进行智能化改造，提升全省智能制造水平。</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3" w:type="dxa"/>
          <w:left w:w="113" w:type="dxa"/>
          <w:bottom w:w="28" w:type="dxa"/>
          <w:right w:w="113" w:type="dxa"/>
        </w:tblCellMar>
      </w:tblPr>
      <w:tblGrid>
        <w:gridCol w:w="1741"/>
        <w:gridCol w:w="7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624" w:hRule="atLeast"/>
        </w:trPr>
        <w:tc>
          <w:tcPr>
            <w:tcW w:w="5000" w:type="pct"/>
            <w:gridSpan w:val="2"/>
            <w:vAlign w:val="center"/>
          </w:tcPr>
          <w:p>
            <w:pPr>
              <w:ind w:firstLine="0" w:firstLineChars="0"/>
              <w:contextualSpacing/>
              <w:jc w:val="center"/>
              <w:rPr>
                <w:rFonts w:ascii="仿宋_GB2312" w:hAnsi="仿宋"/>
                <w:b/>
                <w:bCs/>
                <w:sz w:val="24"/>
                <w:szCs w:val="24"/>
              </w:rPr>
            </w:pPr>
            <w:r>
              <w:rPr>
                <w:rFonts w:hint="eastAsia" w:ascii="仿宋_GB2312" w:hAnsi="仿宋"/>
                <w:b/>
                <w:bCs/>
                <w:sz w:val="24"/>
                <w:szCs w:val="24"/>
              </w:rPr>
              <w:t>专栏 5-1 ：绿色低碳与智能制造产业发展重点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551" w:hRule="atLeast"/>
        </w:trPr>
        <w:tc>
          <w:tcPr>
            <w:tcW w:w="960" w:type="pct"/>
            <w:vAlign w:val="center"/>
          </w:tcPr>
          <w:p>
            <w:pPr>
              <w:ind w:firstLine="0" w:firstLineChars="0"/>
              <w:contextualSpacing/>
              <w:jc w:val="center"/>
              <w:rPr>
                <w:rFonts w:ascii="仿宋_GB2312" w:hAnsi="仿宋"/>
                <w:b/>
                <w:bCs/>
                <w:sz w:val="24"/>
                <w:szCs w:val="24"/>
              </w:rPr>
            </w:pPr>
            <w:r>
              <w:rPr>
                <w:rFonts w:hint="eastAsia" w:ascii="仿宋_GB2312" w:hAnsi="仿宋"/>
                <w:b/>
                <w:bCs/>
                <w:sz w:val="24"/>
                <w:szCs w:val="24"/>
              </w:rPr>
              <w:t>重点方向</w:t>
            </w:r>
          </w:p>
        </w:tc>
        <w:tc>
          <w:tcPr>
            <w:tcW w:w="4040" w:type="pct"/>
            <w:vAlign w:val="center"/>
          </w:tcPr>
          <w:p>
            <w:pPr>
              <w:ind w:firstLine="0" w:firstLineChars="0"/>
              <w:contextualSpacing/>
              <w:rPr>
                <w:rFonts w:ascii="仿宋_GB2312" w:hAnsi="仿宋"/>
                <w:sz w:val="24"/>
                <w:szCs w:val="24"/>
              </w:rPr>
            </w:pPr>
            <w:r>
              <w:rPr>
                <w:rFonts w:hint="eastAsia" w:ascii="仿宋_GB2312" w:hAnsi="仿宋"/>
                <w:sz w:val="24"/>
                <w:szCs w:val="24"/>
              </w:rPr>
              <w:t>依托贵州大数据优势，打造贵州省能源和制造的智能化平台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465" w:hRule="atLeast"/>
        </w:trPr>
        <w:tc>
          <w:tcPr>
            <w:tcW w:w="960" w:type="pct"/>
            <w:vAlign w:val="center"/>
          </w:tcPr>
          <w:p>
            <w:pPr>
              <w:ind w:firstLine="0" w:firstLineChars="0"/>
              <w:contextualSpacing/>
              <w:jc w:val="center"/>
              <w:rPr>
                <w:rFonts w:ascii="仿宋_GB2312" w:hAnsi="仿宋"/>
                <w:b/>
                <w:bCs/>
                <w:sz w:val="24"/>
                <w:szCs w:val="24"/>
              </w:rPr>
            </w:pPr>
            <w:r>
              <w:rPr>
                <w:rFonts w:hint="eastAsia" w:ascii="仿宋_GB2312" w:hAnsi="仿宋"/>
                <w:b/>
                <w:bCs/>
                <w:sz w:val="24"/>
                <w:szCs w:val="24"/>
              </w:rPr>
              <w:t>重点区域</w:t>
            </w:r>
          </w:p>
        </w:tc>
        <w:tc>
          <w:tcPr>
            <w:tcW w:w="4040" w:type="pct"/>
            <w:vAlign w:val="center"/>
          </w:tcPr>
          <w:p>
            <w:pPr>
              <w:ind w:firstLine="0" w:firstLineChars="0"/>
              <w:contextualSpacing/>
              <w:rPr>
                <w:rFonts w:ascii="仿宋_GB2312" w:hAnsi="仿宋"/>
                <w:sz w:val="24"/>
                <w:szCs w:val="24"/>
              </w:rPr>
            </w:pPr>
            <w:r>
              <w:rPr>
                <w:rFonts w:hint="eastAsia" w:ascii="仿宋_GB2312" w:hAnsi="仿宋"/>
                <w:sz w:val="24"/>
                <w:szCs w:val="24"/>
              </w:rPr>
              <w:t>贵阳市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414" w:hRule="atLeast"/>
        </w:trPr>
        <w:tc>
          <w:tcPr>
            <w:tcW w:w="960" w:type="pct"/>
            <w:vAlign w:val="center"/>
          </w:tcPr>
          <w:p>
            <w:pPr>
              <w:ind w:firstLine="0" w:firstLineChars="0"/>
              <w:contextualSpacing/>
              <w:jc w:val="center"/>
              <w:rPr>
                <w:rFonts w:ascii="仿宋_GB2312" w:hAnsi="仿宋"/>
                <w:b/>
                <w:bCs/>
                <w:sz w:val="24"/>
                <w:szCs w:val="24"/>
              </w:rPr>
            </w:pPr>
            <w:r>
              <w:rPr>
                <w:rFonts w:hint="eastAsia" w:ascii="仿宋_GB2312" w:hAnsi="仿宋"/>
                <w:b/>
                <w:bCs/>
                <w:sz w:val="24"/>
                <w:szCs w:val="24"/>
              </w:rPr>
              <w:t>重点企业</w:t>
            </w:r>
          </w:p>
        </w:tc>
        <w:tc>
          <w:tcPr>
            <w:tcW w:w="4040" w:type="pct"/>
            <w:vAlign w:val="center"/>
          </w:tcPr>
          <w:p>
            <w:pPr>
              <w:ind w:firstLine="0" w:firstLineChars="0"/>
              <w:contextualSpacing/>
              <w:rPr>
                <w:rFonts w:ascii="仿宋_GB2312" w:hAnsi="仿宋"/>
                <w:sz w:val="24"/>
                <w:szCs w:val="24"/>
              </w:rPr>
            </w:pPr>
            <w:r>
              <w:rPr>
                <w:rFonts w:hint="eastAsia" w:ascii="仿宋_GB2312" w:hAnsi="仿宋"/>
                <w:sz w:val="24"/>
                <w:szCs w:val="24"/>
              </w:rPr>
              <w:t>宁德时代、比亚迪、振华科技、容百科技、磷化集团、</w:t>
            </w:r>
            <w:r>
              <w:rPr>
                <w:rFonts w:hint="eastAsia" w:ascii="仿宋_GB2312" w:hAnsi="仿宋"/>
                <w:color w:val="FF0000"/>
                <w:sz w:val="24"/>
                <w:szCs w:val="24"/>
              </w:rPr>
              <w:t>贵州雅友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28" w:type="dxa"/>
            <w:right w:w="113" w:type="dxa"/>
          </w:tblCellMar>
        </w:tblPrEx>
        <w:trPr>
          <w:trHeight w:val="3539" w:hRule="atLeast"/>
        </w:trPr>
        <w:tc>
          <w:tcPr>
            <w:tcW w:w="960" w:type="pct"/>
            <w:vAlign w:val="center"/>
          </w:tcPr>
          <w:p>
            <w:pPr>
              <w:ind w:firstLine="0" w:firstLineChars="0"/>
              <w:contextualSpacing/>
              <w:jc w:val="center"/>
              <w:rPr>
                <w:rFonts w:ascii="仿宋_GB2312" w:hAnsi="仿宋"/>
                <w:b/>
                <w:bCs/>
                <w:sz w:val="24"/>
                <w:szCs w:val="24"/>
              </w:rPr>
            </w:pPr>
            <w:r>
              <w:rPr>
                <w:rFonts w:hint="eastAsia" w:ascii="仿宋_GB2312" w:hAnsi="仿宋"/>
                <w:b/>
                <w:bCs/>
                <w:sz w:val="24"/>
                <w:szCs w:val="24"/>
              </w:rPr>
              <w:t>发展途径</w:t>
            </w:r>
          </w:p>
        </w:tc>
        <w:tc>
          <w:tcPr>
            <w:tcW w:w="4040" w:type="pct"/>
            <w:vAlign w:val="center"/>
          </w:tcPr>
          <w:p>
            <w:pPr>
              <w:ind w:firstLine="482"/>
              <w:contextualSpacing/>
              <w:rPr>
                <w:rFonts w:ascii="仿宋_GB2312" w:hAnsi="仿宋"/>
                <w:sz w:val="24"/>
                <w:szCs w:val="24"/>
              </w:rPr>
            </w:pPr>
            <w:r>
              <w:rPr>
                <w:rFonts w:hint="eastAsia" w:ascii="仿宋_GB2312" w:hAnsi="仿宋"/>
                <w:b/>
                <w:bCs/>
                <w:sz w:val="24"/>
                <w:szCs w:val="24"/>
              </w:rPr>
              <w:t>能源智能化管理。</w:t>
            </w:r>
            <w:r>
              <w:rPr>
                <w:rFonts w:hint="eastAsia" w:ascii="仿宋_GB2312" w:hAnsi="仿宋"/>
                <w:sz w:val="24"/>
                <w:szCs w:val="24"/>
              </w:rPr>
              <w:t>整理全省新能源电池及材料产业链相关企业，纳入全省能源及碳管理体系，实时追踪产业链相关企业的能耗及排放数据，实现全面追踪和科学管理，从而提高节能减排效率。</w:t>
            </w:r>
          </w:p>
          <w:p>
            <w:pPr>
              <w:ind w:firstLine="482"/>
              <w:contextualSpacing/>
              <w:rPr>
                <w:rFonts w:ascii="仿宋_GB2312" w:hAnsi="仿宋"/>
                <w:sz w:val="24"/>
                <w:szCs w:val="24"/>
              </w:rPr>
            </w:pPr>
            <w:r>
              <w:rPr>
                <w:rFonts w:hint="eastAsia" w:ascii="仿宋_GB2312" w:hAnsi="仿宋"/>
                <w:b/>
                <w:bCs/>
                <w:sz w:val="24"/>
                <w:szCs w:val="24"/>
              </w:rPr>
              <w:t>智能化改造。</w:t>
            </w:r>
            <w:r>
              <w:rPr>
                <w:rFonts w:hint="eastAsia" w:ascii="仿宋_GB2312" w:hAnsi="仿宋"/>
                <w:sz w:val="24"/>
                <w:szCs w:val="24"/>
              </w:rPr>
              <w:t>依托省内宁德时代、比亚迪、振华科技、容百科技、磷化集团等龙头企业，通过补贴等鼓励政策，推动其现有共厂的智能化改造以及新建工厂的智能化建设，为产业链其他企业起到示范带动作用。</w:t>
            </w:r>
          </w:p>
        </w:tc>
      </w:tr>
    </w:tbl>
    <w:p>
      <w:pPr>
        <w:ind w:firstLine="0" w:firstLineChars="0"/>
      </w:pPr>
    </w:p>
    <w:p>
      <w:pPr>
        <w:ind w:firstLine="560"/>
        <w:sectPr>
          <w:pgSz w:w="11906" w:h="16838"/>
          <w:pgMar w:top="1418" w:right="1531" w:bottom="1418" w:left="1531" w:header="851" w:footer="992" w:gutter="0"/>
          <w:pgNumType w:fmt="numberInDash"/>
          <w:cols w:space="425" w:num="1"/>
          <w:docGrid w:linePitch="312" w:charSpace="0"/>
        </w:sectPr>
      </w:pPr>
    </w:p>
    <w:p>
      <w:pPr>
        <w:spacing w:after="480" w:afterLines="200"/>
        <w:ind w:firstLine="0" w:firstLineChars="0"/>
        <w:jc w:val="center"/>
        <w:rPr>
          <w:b/>
          <w:bCs/>
        </w:rPr>
      </w:pPr>
      <w:r>
        <w:rPr>
          <w:rFonts w:hint="eastAsia"/>
          <w:b/>
          <w:bCs/>
        </w:rPr>
        <w:t>贵州省新能源电池及材料产业链图</w:t>
      </w:r>
    </w:p>
    <w:p>
      <w:pPr>
        <w:pStyle w:val="2"/>
        <w:ind w:firstLine="0" w:firstLineChars="0"/>
      </w:pPr>
      <w:r>
        <w:drawing>
          <wp:inline distT="0" distB="0" distL="0" distR="0">
            <wp:extent cx="8495665" cy="3995420"/>
            <wp:effectExtent l="0" t="0" r="635" b="508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16">
                      <a:extLst>
                        <a:ext uri="{28A0092B-C50C-407E-A947-70E740481C1C}">
                          <a14:useLocalDpi xmlns:a14="http://schemas.microsoft.com/office/drawing/2010/main" val="false"/>
                        </a:ext>
                      </a:extLst>
                    </a:blip>
                    <a:srcRect/>
                    <a:stretch>
                      <a:fillRect/>
                    </a:stretch>
                  </pic:blipFill>
                  <pic:spPr>
                    <a:xfrm>
                      <a:off x="0" y="0"/>
                      <a:ext cx="8496000" cy="3995846"/>
                    </a:xfrm>
                    <a:prstGeom prst="rect">
                      <a:avLst/>
                    </a:prstGeom>
                    <a:noFill/>
                  </pic:spPr>
                </pic:pic>
              </a:graphicData>
            </a:graphic>
          </wp:inline>
        </w:drawing>
      </w:r>
    </w:p>
    <w:p>
      <w:pPr>
        <w:pStyle w:val="2"/>
        <w:ind w:firstLine="0" w:firstLineChars="0"/>
      </w:pPr>
    </w:p>
    <w:p>
      <w:pPr>
        <w:pStyle w:val="2"/>
        <w:ind w:firstLine="0" w:firstLineChars="0"/>
      </w:pPr>
    </w:p>
    <w:p>
      <w:pPr>
        <w:spacing w:after="480" w:afterLines="200"/>
        <w:ind w:firstLine="0" w:firstLineChars="0"/>
        <w:jc w:val="center"/>
        <w:rPr>
          <w:b/>
          <w:bCs/>
        </w:rPr>
      </w:pPr>
      <w:r>
        <w:rPr>
          <w:rFonts w:hint="eastAsia"/>
          <w:b/>
          <w:bCs/>
        </w:rPr>
        <w:t>贵州省新能源电池及材料产业链全景图</w:t>
      </w:r>
    </w:p>
    <w:p>
      <w:pPr>
        <w:pStyle w:val="2"/>
        <w:ind w:firstLine="0" w:firstLineChars="0"/>
      </w:pPr>
      <w:r>
        <w:drawing>
          <wp:inline distT="0" distB="0" distL="0" distR="0">
            <wp:extent cx="8495665" cy="4251960"/>
            <wp:effectExtent l="0" t="0" r="635"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noChangeArrowheads="true"/>
                    </pic:cNvPicPr>
                  </pic:nvPicPr>
                  <pic:blipFill>
                    <a:blip r:embed="rId17" cstate="print">
                      <a:extLst>
                        <a:ext uri="{28A0092B-C50C-407E-A947-70E740481C1C}">
                          <a14:useLocalDpi xmlns:a14="http://schemas.microsoft.com/office/drawing/2010/main" val="false"/>
                        </a:ext>
                      </a:extLst>
                    </a:blip>
                    <a:srcRect/>
                    <a:stretch>
                      <a:fillRect/>
                    </a:stretch>
                  </pic:blipFill>
                  <pic:spPr>
                    <a:xfrm>
                      <a:off x="0" y="0"/>
                      <a:ext cx="8496000" cy="4252186"/>
                    </a:xfrm>
                    <a:prstGeom prst="rect">
                      <a:avLst/>
                    </a:prstGeom>
                    <a:noFill/>
                  </pic:spPr>
                </pic:pic>
              </a:graphicData>
            </a:graphic>
          </wp:inline>
        </w:drawing>
      </w:r>
    </w:p>
    <w:p>
      <w:pPr>
        <w:pStyle w:val="2"/>
        <w:ind w:firstLine="0" w:firstLineChars="0"/>
      </w:pPr>
    </w:p>
    <w:p>
      <w:pPr>
        <w:pStyle w:val="2"/>
        <w:ind w:firstLine="0" w:firstLineChars="0"/>
      </w:pPr>
    </w:p>
    <w:p>
      <w:pPr>
        <w:spacing w:after="480" w:afterLines="200"/>
        <w:ind w:firstLine="0" w:firstLineChars="0"/>
        <w:jc w:val="center"/>
        <w:rPr>
          <w:b/>
          <w:bCs/>
        </w:rPr>
      </w:pPr>
      <w:r>
        <w:rPr>
          <w:rFonts w:hint="eastAsia"/>
          <w:b/>
          <w:bCs/>
        </w:rPr>
        <w:t>贵州省新能源电池及材料产业招商图</w:t>
      </w:r>
    </w:p>
    <w:p>
      <w:pPr>
        <w:pStyle w:val="2"/>
        <w:ind w:firstLine="0" w:firstLineChars="0"/>
      </w:pPr>
      <w:r>
        <w:drawing>
          <wp:inline distT="0" distB="0" distL="0" distR="0">
            <wp:extent cx="8495665" cy="4652645"/>
            <wp:effectExtent l="0" t="0" r="635"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noChangeArrowheads="true"/>
                    </pic:cNvPicPr>
                  </pic:nvPicPr>
                  <pic:blipFill>
                    <a:blip r:embed="rId18">
                      <a:extLst>
                        <a:ext uri="{28A0092B-C50C-407E-A947-70E740481C1C}">
                          <a14:useLocalDpi xmlns:a14="http://schemas.microsoft.com/office/drawing/2010/main" val="false"/>
                        </a:ext>
                      </a:extLst>
                    </a:blip>
                    <a:srcRect/>
                    <a:stretch>
                      <a:fillRect/>
                    </a:stretch>
                  </pic:blipFill>
                  <pic:spPr>
                    <a:xfrm>
                      <a:off x="0" y="0"/>
                      <a:ext cx="8496000" cy="4652879"/>
                    </a:xfrm>
                    <a:prstGeom prst="rect">
                      <a:avLst/>
                    </a:prstGeom>
                    <a:noFill/>
                  </pic:spPr>
                </pic:pic>
              </a:graphicData>
            </a:graphic>
          </wp:inline>
        </w:drawing>
      </w:r>
    </w:p>
    <w:p>
      <w:pPr>
        <w:pStyle w:val="2"/>
        <w:ind w:firstLine="0" w:firstLineChars="0"/>
        <w:sectPr>
          <w:pgSz w:w="16838" w:h="11906" w:orient="landscape"/>
          <w:pgMar w:top="1531" w:right="1418" w:bottom="1531" w:left="1985" w:header="851" w:footer="992" w:gutter="0"/>
          <w:pgNumType w:fmt="numberInDash"/>
          <w:cols w:space="425" w:num="1"/>
          <w:docGrid w:linePitch="312" w:charSpace="0"/>
        </w:sectPr>
      </w:pPr>
    </w:p>
    <w:p>
      <w:pPr>
        <w:pStyle w:val="3"/>
        <w:spacing w:after="0"/>
      </w:pPr>
      <w:bookmarkStart w:id="57" w:name="_Toc118298135"/>
      <w:r>
        <w:rPr>
          <w:rFonts w:hint="eastAsia"/>
        </w:rPr>
        <w:t>六、实施路径</w:t>
      </w:r>
      <w:bookmarkEnd w:id="57"/>
    </w:p>
    <w:p>
      <w:pPr>
        <w:pStyle w:val="4"/>
        <w:ind w:left="412"/>
      </w:pPr>
      <w:bookmarkStart w:id="58" w:name="_Toc118298136"/>
      <w:r>
        <w:rPr>
          <w:rFonts w:hint="eastAsia"/>
        </w:rPr>
        <w:t>（一）优化产业空间布局</w:t>
      </w:r>
      <w:bookmarkEnd w:id="58"/>
    </w:p>
    <w:p>
      <w:pPr>
        <w:ind w:firstLine="560"/>
      </w:pPr>
      <w:r>
        <w:rPr>
          <w:rFonts w:hint="eastAsia"/>
        </w:rPr>
        <w:t>结合贵州省资源分布特点，落实贵州省</w:t>
      </w:r>
      <w:r>
        <w:rPr>
          <w:rFonts w:hint="eastAsia"/>
          <w:b/>
          <w:bCs/>
        </w:rPr>
        <w:t>“一核两区”</w:t>
      </w:r>
      <w:r>
        <w:rPr>
          <w:rFonts w:hint="eastAsia"/>
        </w:rPr>
        <w:t>总体产业空间布局，将其他市州作为新增发展极，加快培育以三元正极材料及原辅料为代表的电池材料及原辅料产业集聚区，重点补齐锂盐材料短板，着力突破“煤焦油—针状焦—负极材料”产业路径。全力推动我省新能源电池及材料产业的全面发展和总体进步，进一步加深“电动贵州”新名片的印象。</w:t>
      </w:r>
    </w:p>
    <w:p>
      <w:pPr>
        <w:ind w:firstLine="562"/>
      </w:pPr>
      <w:r>
        <w:rPr>
          <w:rFonts w:hint="eastAsia"/>
          <w:b/>
          <w:bCs/>
        </w:rPr>
        <w:t>“一核”：</w:t>
      </w:r>
      <w:r>
        <w:rPr>
          <w:rFonts w:hint="eastAsia"/>
        </w:rPr>
        <w:t>以</w:t>
      </w:r>
      <w:r>
        <w:rPr>
          <w:rFonts w:hint="eastAsia"/>
          <w:b/>
          <w:bCs/>
        </w:rPr>
        <w:t>贵阳贵安和“开阳—息烽”“瓮安—福泉”</w:t>
      </w:r>
      <w:r>
        <w:rPr>
          <w:rFonts w:hint="eastAsia"/>
        </w:rPr>
        <w:t>两大磷化工产业基地为核心，培育打造新能源电池及配套产业集群，培育壮大磷系、氟系电池材料产业带。</w:t>
      </w:r>
    </w:p>
    <w:p>
      <w:pPr>
        <w:ind w:firstLine="562"/>
      </w:pPr>
      <w:r>
        <w:rPr>
          <w:rFonts w:hint="eastAsia"/>
          <w:b/>
          <w:bCs/>
        </w:rPr>
        <w:t>“两区”：铜仁新能源电池及材料产业聚集区</w:t>
      </w:r>
      <w:r>
        <w:rPr>
          <w:rFonts w:hint="eastAsia"/>
        </w:rPr>
        <w:t>和</w:t>
      </w:r>
      <w:r>
        <w:rPr>
          <w:rFonts w:hint="eastAsia"/>
          <w:b/>
          <w:bCs/>
        </w:rPr>
        <w:t>“黔西南—六盘水”新能源电池及材料产业聚集区</w:t>
      </w:r>
      <w:r>
        <w:rPr>
          <w:rFonts w:hint="eastAsia"/>
        </w:rPr>
        <w:t>，其中铜仁市以大龙经开区为重点、以黔东工业集聚区产业带为支撑；“黔西南州—六盘水”以义龙新区为重点，兴仁经开区、盘北经开区、六枝经开区等为支撑。重点发展新能源电池产业配套电池材料的产业集聚区。</w:t>
      </w:r>
    </w:p>
    <w:p>
      <w:pPr>
        <w:ind w:firstLine="562"/>
      </w:pPr>
      <w:r>
        <w:rPr>
          <w:rFonts w:hint="eastAsia"/>
          <w:b/>
          <w:bCs/>
        </w:rPr>
        <w:t>其他发展极：</w:t>
      </w:r>
      <w:r>
        <w:rPr>
          <w:rFonts w:hint="eastAsia"/>
        </w:rPr>
        <w:t>包括遵义市、毕节市、安顺市、黔东南、黔南州，各市州依托自身资源优势和产业基础，因地制宜构建和发展当地实现新能源电池及材料产业发展格局，打造</w:t>
      </w:r>
      <w:r>
        <w:rPr>
          <w:rFonts w:hint="eastAsia"/>
          <w:b/>
          <w:bCs/>
        </w:rPr>
        <w:t>省级新能源电池及材料产业重点园区</w:t>
      </w:r>
      <w:r>
        <w:rPr>
          <w:rFonts w:hint="eastAsia"/>
        </w:rPr>
        <w:t>，为省内新能源电池产业形成配套。其中，</w:t>
      </w:r>
      <w:r>
        <w:rPr>
          <w:rFonts w:hint="eastAsia"/>
          <w:b/>
          <w:bCs/>
        </w:rPr>
        <w:t>遵义市</w:t>
      </w:r>
      <w:r>
        <w:rPr>
          <w:rFonts w:hint="eastAsia"/>
        </w:rPr>
        <w:t>依托梅岭电源的军工背景，成立技术产业协会或第三方权威平台，重点研发前端技术及产品；</w:t>
      </w:r>
      <w:r>
        <w:rPr>
          <w:rFonts w:hint="eastAsia"/>
          <w:b/>
          <w:bCs/>
        </w:rPr>
        <w:t>毕节市</w:t>
      </w:r>
      <w:r>
        <w:rPr>
          <w:rFonts w:hint="eastAsia"/>
        </w:rPr>
        <w:t>依托磷矿资源和人口优势以及已建成的毕节高新技术产业开发区，打造新能源电池及材料重点园区，形成产业聚集。</w:t>
      </w:r>
      <w:r>
        <w:rPr>
          <w:rFonts w:hint="eastAsia"/>
          <w:b/>
          <w:bCs/>
        </w:rPr>
        <w:t>安顺市</w:t>
      </w:r>
      <w:r>
        <w:rPr>
          <w:rFonts w:hint="eastAsia"/>
        </w:rPr>
        <w:t>依托毗邻贵阳贵安的区位优势，重点发展贵阳贵安新能源电池及材料的配套产业；</w:t>
      </w:r>
      <w:r>
        <w:rPr>
          <w:rFonts w:hint="eastAsia"/>
          <w:b/>
          <w:bCs/>
        </w:rPr>
        <w:t>黔东南州</w:t>
      </w:r>
      <w:r>
        <w:rPr>
          <w:rFonts w:hint="eastAsia"/>
        </w:rPr>
        <w:t>依托天能集团重点支持新能源电池的转型发展；</w:t>
      </w:r>
      <w:r>
        <w:rPr>
          <w:rFonts w:hint="eastAsia"/>
          <w:b/>
          <w:bCs/>
        </w:rPr>
        <w:t>黔南州</w:t>
      </w:r>
      <w:r>
        <w:rPr>
          <w:rFonts w:hint="eastAsia"/>
        </w:rPr>
        <w:t>依托“瓮安—福泉”划入一核的区位优势以及区域内化工产业基础，重点发展电池新材料上、中游产业，推动磷化工产业融合，以电池材料为核心建成千亿级磷化工产业集聚区。</w:t>
      </w:r>
    </w:p>
    <w:p>
      <w:pPr>
        <w:pStyle w:val="2"/>
        <w:ind w:firstLine="0" w:firstLineChars="0"/>
        <w:sectPr>
          <w:pgSz w:w="11906" w:h="16838"/>
          <w:pgMar w:top="1418" w:right="1531" w:bottom="1701" w:left="1531" w:header="851" w:footer="992" w:gutter="0"/>
          <w:pgNumType w:fmt="numberInDash"/>
          <w:cols w:space="425" w:num="1"/>
          <w:docGrid w:linePitch="312" w:charSpace="0"/>
        </w:sectPr>
      </w:pPr>
    </w:p>
    <w:p>
      <w:pPr>
        <w:keepNext/>
        <w:spacing w:line="480" w:lineRule="auto"/>
        <w:ind w:firstLine="171" w:firstLineChars="71"/>
        <w:jc w:val="center"/>
        <w:rPr>
          <w:b/>
          <w:bCs/>
          <w:sz w:val="24"/>
          <w:szCs w:val="24"/>
        </w:rPr>
      </w:pPr>
      <w:r>
        <w:rPr>
          <w:rFonts w:hint="eastAsia"/>
          <w:b/>
          <w:bCs/>
          <w:sz w:val="24"/>
          <w:szCs w:val="24"/>
        </w:rPr>
        <w:t>贵州省新能源电池及材料产业空间布局</w:t>
      </w:r>
    </w:p>
    <w:p>
      <w:pPr>
        <w:ind w:firstLine="0" w:firstLineChars="0"/>
        <w:jc w:val="center"/>
      </w:pPr>
      <w:r>
        <w:drawing>
          <wp:inline distT="0" distB="0" distL="0" distR="0">
            <wp:extent cx="8567420" cy="5074920"/>
            <wp:effectExtent l="0" t="0" r="508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19">
                      <a:extLst>
                        <a:ext uri="{28A0092B-C50C-407E-A947-70E740481C1C}">
                          <a14:useLocalDpi xmlns:a14="http://schemas.microsoft.com/office/drawing/2010/main" val="false"/>
                        </a:ext>
                      </a:extLst>
                    </a:blip>
                    <a:srcRect/>
                    <a:stretch>
                      <a:fillRect/>
                    </a:stretch>
                  </pic:blipFill>
                  <pic:spPr>
                    <a:xfrm>
                      <a:off x="0" y="0"/>
                      <a:ext cx="8568000" cy="5075401"/>
                    </a:xfrm>
                    <a:prstGeom prst="rect">
                      <a:avLst/>
                    </a:prstGeom>
                    <a:noFill/>
                  </pic:spPr>
                </pic:pic>
              </a:graphicData>
            </a:graphic>
          </wp:inline>
        </w:drawing>
      </w:r>
    </w:p>
    <w:p>
      <w:pPr>
        <w:pStyle w:val="2"/>
        <w:ind w:firstLine="560"/>
        <w:sectPr>
          <w:pgSz w:w="16838" w:h="11906" w:orient="landscape"/>
          <w:pgMar w:top="1531" w:right="1418" w:bottom="1531" w:left="1985" w:header="851" w:footer="992" w:gutter="0"/>
          <w:pgNumType w:fmt="numberInDash"/>
          <w:cols w:space="425" w:num="1"/>
          <w:docGrid w:type="lines" w:linePitch="312" w:charSpace="0"/>
        </w:sectPr>
      </w:pPr>
    </w:p>
    <w:p>
      <w:pPr>
        <w:pStyle w:val="4"/>
        <w:ind w:left="412"/>
      </w:pPr>
      <w:bookmarkStart w:id="59" w:name="_Toc118298137"/>
      <w:r>
        <w:rPr>
          <w:rFonts w:hint="eastAsia"/>
        </w:rPr>
        <w:t>（二）支持重点企业发展</w:t>
      </w:r>
      <w:bookmarkEnd w:id="59"/>
    </w:p>
    <w:p>
      <w:pPr>
        <w:ind w:firstLine="560"/>
      </w:pPr>
      <w:r>
        <w:rPr>
          <w:rFonts w:hint="eastAsia"/>
        </w:rPr>
        <w:t>围绕省内新能源电池及材料重点企业，制定重点企业培育计划，着力培育经济效益好、产能规模大、研发实力强的新能源电池及材料企业，积极引导资金、技术、人才等相关要素向重点企业聚焦。</w:t>
      </w:r>
    </w:p>
    <w:p>
      <w:pPr>
        <w:ind w:firstLine="562"/>
      </w:pPr>
      <w:r>
        <w:rPr>
          <w:rFonts w:hint="eastAsia"/>
          <w:b/>
          <w:bCs/>
        </w:rPr>
        <w:t>加大金融扶持力度。</w:t>
      </w:r>
      <w:r>
        <w:rPr>
          <w:rFonts w:hint="eastAsia"/>
        </w:rPr>
        <w:t>支持省内符合条件的新能源电池及材料重点企业通过股权、债券、资产证券化等方式筹集资金。引导金融机构加大对重点企业和重点项目的资金支持，创新服务方式，简化贷款流程，更好支持重点企业发展。发挥国有融资担保体系作用，积极为重点企业融资提供优质担保增信服务。</w:t>
      </w:r>
    </w:p>
    <w:p>
      <w:pPr>
        <w:ind w:firstLine="562"/>
      </w:pPr>
      <w:r>
        <w:rPr>
          <w:rFonts w:hint="eastAsia"/>
          <w:b/>
          <w:bCs/>
        </w:rPr>
        <w:t>鼓励企业科技创新。</w:t>
      </w:r>
      <w:r>
        <w:rPr>
          <w:rFonts w:hint="eastAsia"/>
        </w:rPr>
        <w:t>支持重点企业在钠离子电池、氢燃料电池等前沿技术领域的科技创新。鼓励重点企业科技创新成果转化，对科技创新潜力较大、科技成果转化能力较强的锂电企业，通过 “科技成果转化”等项目择优给予支持。鼓励企业积极申报国家级、省级科技创新平台，对被认定的国家级、省级科技创新平台按规定给予资金支持。</w:t>
      </w:r>
    </w:p>
    <w:p>
      <w:pPr>
        <w:ind w:firstLine="562"/>
      </w:pPr>
      <w:r>
        <w:rPr>
          <w:rFonts w:hint="eastAsia"/>
          <w:b/>
          <w:bCs/>
        </w:rPr>
        <w:t>支持企业技改扩能。</w:t>
      </w:r>
      <w:r>
        <w:rPr>
          <w:rFonts w:hint="eastAsia"/>
        </w:rPr>
        <w:t>支持新能源电池及材料企业加大技改扩能投入，对企业的产能扩建及技改项目予以重点跟踪，推动企业加快应用新技术、新工艺、新装备，促进企业转型升级。通过省工业和信息化发展专项资金按规定对企业技术改造项目进行支持。</w:t>
      </w:r>
    </w:p>
    <w:p>
      <w:pPr>
        <w:pStyle w:val="4"/>
        <w:ind w:left="412"/>
      </w:pPr>
      <w:bookmarkStart w:id="60" w:name="_Toc118298138"/>
      <w:r>
        <w:rPr>
          <w:rFonts w:hint="eastAsia"/>
        </w:rPr>
        <w:t>（三）加快重大项目落地</w:t>
      </w:r>
      <w:bookmarkEnd w:id="60"/>
    </w:p>
    <w:p>
      <w:pPr>
        <w:ind w:firstLine="560"/>
      </w:pPr>
      <w:r>
        <w:rPr>
          <w:rFonts w:hint="eastAsia"/>
        </w:rPr>
        <w:t>对于重大项目坚持省市联动、部门协同，省新能源电池及材料工作专班协调各方解决重大项目落地建设、企业发展面临的重点难点问题。通过加强前期策划、强化要素保障、创新服务模式等措施确保重大项目落地。</w:t>
      </w:r>
    </w:p>
    <w:p>
      <w:pPr>
        <w:ind w:firstLine="562"/>
      </w:pPr>
      <w:r>
        <w:rPr>
          <w:rFonts w:hint="eastAsia"/>
          <w:b/>
          <w:bCs/>
        </w:rPr>
        <w:t>加强前期策划。</w:t>
      </w:r>
      <w:r>
        <w:rPr>
          <w:rFonts w:hint="eastAsia"/>
        </w:rPr>
        <w:t>在重大项目落地之前，有计划、有步骤的开展前期工作，加强前期策划，开展项目选址、立项审批、项目申报、风险评估、节能审查等工作，统筹生产要素协调，推进重大项目可决策、可落实、可实施，确保重大项目能快速落地，为提升重大项目后期审批效率奠定坚实的基础。</w:t>
      </w:r>
    </w:p>
    <w:p>
      <w:pPr>
        <w:ind w:firstLine="562"/>
      </w:pPr>
      <w:r>
        <w:rPr>
          <w:rFonts w:hint="eastAsia"/>
          <w:b/>
          <w:bCs/>
        </w:rPr>
        <w:t>强化要素保障。</w:t>
      </w:r>
      <w:r>
        <w:rPr>
          <w:rFonts w:hint="eastAsia"/>
        </w:rPr>
        <w:t>紧抓重大项目建设任务，强化统筹调度，加快推进项目征迁、场平等重点工作，加强厂房、水、电、路、气、土地等重大项目配套要素保障，及时协调解决项目建设过程中的问题，助推重大项目快开工、快投产、快达效，有效节约企业时间和经济成本，提升重大项目建设进度。</w:t>
      </w:r>
    </w:p>
    <w:p>
      <w:pPr>
        <w:ind w:firstLine="562"/>
      </w:pPr>
      <w:r>
        <w:rPr>
          <w:rFonts w:hint="eastAsia"/>
          <w:b/>
          <w:bCs/>
        </w:rPr>
        <w:t>创新服务模式。</w:t>
      </w:r>
      <w:r>
        <w:rPr>
          <w:rFonts w:hint="eastAsia"/>
        </w:rPr>
        <w:t>搭建一支专业、高效的项目服务团队，实行重大跟踪服务，快速解决重大项目开工手续办理中的所遇到的问题，指导相关企业准确提交相关审批材料，跟踪解决相关问题，协调推进重大项目落地，构建主动对接、精准订制、全程跟踪服务体系。建立重大项目审批绿色通道，确保重大项目及时快速落地。</w:t>
      </w:r>
    </w:p>
    <w:p>
      <w:pPr>
        <w:pStyle w:val="4"/>
        <w:ind w:left="412"/>
      </w:pPr>
      <w:bookmarkStart w:id="61" w:name="_Toc118298139"/>
      <w:r>
        <w:rPr>
          <w:rFonts w:hint="eastAsia"/>
        </w:rPr>
        <w:t>（四）改善下游应用环境</w:t>
      </w:r>
      <w:bookmarkEnd w:id="61"/>
    </w:p>
    <w:p>
      <w:pPr>
        <w:ind w:firstLine="560"/>
      </w:pPr>
      <w:r>
        <w:rPr>
          <w:rFonts w:hint="eastAsia"/>
        </w:rPr>
        <w:t>在新能源电池下游应用领域，发展新能源整车产业，加大新能源汽车以及储能应用市场的推广应用，配套上游材料和新能源电池企业，从终端应用市场促进上游中游企业的全面落地和深度发展。</w:t>
      </w:r>
    </w:p>
    <w:p>
      <w:pPr>
        <w:ind w:firstLine="562"/>
      </w:pPr>
      <w:r>
        <w:rPr>
          <w:rFonts w:hint="eastAsia"/>
          <w:b/>
          <w:bCs/>
          <w:color w:val="000000" w:themeColor="text1"/>
          <w14:textFill>
            <w14:solidFill>
              <w14:schemeClr w14:val="tx1"/>
            </w14:solidFill>
          </w14:textFill>
        </w:rPr>
        <w:t>新能源整车制造</w:t>
      </w:r>
      <w:r>
        <w:rPr>
          <w:rFonts w:hint="eastAsia"/>
        </w:rPr>
        <w:t>。以“盘活存量、引进增量、提升质量”为原则，发展新能源整车制造产业。以现有汽车企业为依托，重点支持企业向新能源方向转型，核心推动电动汽车、氢燃料汽车制造。谋划引进“造车新势力”第二梯队企业，凭借我省磷系正极材料优势以及煤制氢产业基础，鼓励企业建设以磷系电池材料应用和氢燃料电池为主的汽车基地。</w:t>
      </w:r>
    </w:p>
    <w:p>
      <w:pPr>
        <w:ind w:firstLine="562"/>
      </w:pPr>
      <w:r>
        <w:rPr>
          <w:rFonts w:hint="eastAsia"/>
          <w:b/>
          <w:bCs/>
        </w:rPr>
        <w:t>新能源汽车推广</w:t>
      </w:r>
      <w:r>
        <w:rPr>
          <w:rFonts w:hint="eastAsia"/>
        </w:rPr>
        <w:t>。按照“政府支持，公共先行，企业主导”的原则全方位、多角度加速新能源汽车推广。贯彻国家“降低传统燃油车产销比”的行动方案，加大新能源汽车的推广力度；公共领域倡导绿色出行，实行公务用车、城市公共领域用车的电动化转型，从公共领域先行示范。</w:t>
      </w:r>
    </w:p>
    <w:p>
      <w:pPr>
        <w:ind w:firstLine="562"/>
      </w:pPr>
      <w:r>
        <w:rPr>
          <w:rFonts w:hint="eastAsia"/>
          <w:b/>
          <w:bCs/>
        </w:rPr>
        <w:t>充换电基础设施完善。</w:t>
      </w:r>
      <w:r>
        <w:rPr>
          <w:rFonts w:hint="eastAsia"/>
        </w:rPr>
        <w:t>按照全省电动汽车推广应用情况，积极推广智能有序慢充为主、应急快充为辅的居民区充电服务模式，加快形成适度超前、快充为主、慢充为辅的高速公路和城乡公共充电网络。科学布局全省范围内的充（换）电基础设施，加强与城乡建设规划、电网规划及物业管理、城市停车等统筹协调。支持超级快充、V2G 充电、储能充电、无线充电、储充检一体化等新技术应用示范。同时重点研发生产和推广应用新型充（换）电装备，支持研发应用无线充电技术和智慧能源微网系统，提升我省新能源汽车应用水平。</w:t>
      </w:r>
    </w:p>
    <w:p>
      <w:pPr>
        <w:ind w:firstLine="562"/>
      </w:pPr>
      <w:r>
        <w:rPr>
          <w:rFonts w:hint="eastAsia"/>
          <w:b/>
          <w:bCs/>
        </w:rPr>
        <w:t>储能应用场景</w:t>
      </w:r>
      <w:r>
        <w:rPr>
          <w:rFonts w:hint="eastAsia"/>
        </w:rPr>
        <w:t>。依托我省风、光的自然条件优势，重点开发省内太阳能、风能等绿色清洁能源的发电项目配储、充换电配储等应用场景，提升储能电池在各类的场景的应用比例，重点推进锂电池及钠离子电池等在储能领域的应用。依托六盘水市、黔西南州、安顺市等风光发电条件，从省级层面制定和出台风电光伏配储政策，规定绿电配储比例。解决弃风弃光及电网调峰能力不足，同时带动上游锂电池或钠电池等储能电池的发展。</w:t>
      </w:r>
    </w:p>
    <w:p>
      <w:pPr>
        <w:pStyle w:val="4"/>
        <w:ind w:left="412"/>
      </w:pPr>
      <w:bookmarkStart w:id="62" w:name="_Toc118298140"/>
      <w:r>
        <w:rPr>
          <w:rFonts w:hint="eastAsia"/>
        </w:rPr>
        <w:t>（五）构建产业创新体系</w:t>
      </w:r>
      <w:bookmarkEnd w:id="62"/>
    </w:p>
    <w:p>
      <w:pPr>
        <w:ind w:firstLine="560"/>
      </w:pPr>
      <w:r>
        <w:rPr>
          <w:rFonts w:hint="eastAsia"/>
        </w:rPr>
        <w:t>以我省矿产资源和产业基础为依托，结合新能源电池及材料产业的技术发展趋势，重点研究和开发资源开采技术，搭建起全省创新服务平台，为行业提供技术开发、标准制定、人才培养等方面的支撑，提升我省新能源新材料产业的核心竞争力和可持续发展能力。</w:t>
      </w:r>
    </w:p>
    <w:p>
      <w:pPr>
        <w:ind w:firstLine="562"/>
      </w:pPr>
      <w:r>
        <w:rPr>
          <w:rFonts w:hint="eastAsia"/>
          <w:b/>
          <w:bCs/>
        </w:rPr>
        <w:t>加快新能源产业技术创新。</w:t>
      </w:r>
      <w:r>
        <w:rPr>
          <w:rFonts w:hint="eastAsia"/>
        </w:rPr>
        <w:t>发挥我省在大数据、航空航天、军工技术等方面的技术优势，加强新能源电池及材料技术和核心技术装备攻关，加大新型电池及材料关键技术研究与推广应用。推进钠离子电池、燃料电池、固态电池等新型电池以及高能量密度、高循环、高安全性、低成本的新能源电池材料等核心技术研发和创新，开展磷矿、锰矿、粘土锂矿等矿物提取技术等新技术、燃料电池等新产品的研究和应用。加强对高性能添加剂、新型硅基负极、导电剂等特殊辅材的产业化落地。推进适用于新能源电池设备的引进和落地。</w:t>
      </w:r>
    </w:p>
    <w:p>
      <w:pPr>
        <w:ind w:firstLine="562"/>
      </w:pPr>
      <w:r>
        <w:rPr>
          <w:rFonts w:hint="eastAsia"/>
          <w:b/>
          <w:bCs/>
        </w:rPr>
        <w:t>强化创新支撑体系建设。</w:t>
      </w:r>
      <w:r>
        <w:rPr>
          <w:rFonts w:hint="eastAsia"/>
        </w:rPr>
        <w:t>加强创新平台建设，充分整合省内外科研院所、高校、企业等创新资源，构建以企业为主体、市场为导向、产学研深度融合的技术创新体系，针对锂资源开发应用、正负极材料研发、锰系电池材料研发、氢能利用技术、电池回收机利用等各细分领域创建研究中心，提高省内新能源及材料产业总体技术水平。加强产业服务体系建设，积极培育壮大我省工程建设、技术咨询、运行服务、检测认证、知识产权保护、教育培训等为支撑的可再生能源产业服务体系。加强国际合作交流，鼓励省内新能源电池及材料产业龙头企业与国外领军企业建立合作关系，共同开展技术研究，积极开拓和布局相关国家新能源电池及材料市场。</w:t>
      </w:r>
    </w:p>
    <w:p>
      <w:pPr>
        <w:ind w:firstLine="562"/>
      </w:pPr>
      <w:r>
        <w:rPr>
          <w:rFonts w:hint="eastAsia"/>
          <w:b/>
          <w:bCs/>
        </w:rPr>
        <w:t>建设贵州省新能源材料创新中心。</w:t>
      </w:r>
      <w:r>
        <w:rPr>
          <w:rFonts w:hint="eastAsia"/>
        </w:rPr>
        <w:t>依托贵州省新能源材料创新中心，同时吸纳新能源电池及材料产业链具有技术实力的企业成为成员单位，形成配置完整、功能齐全的共性技术、前瞻技术研发平台体系。通过创新中心积极推进“产、学、研、用”结合，持续承担新能源材料领域关键、共性及重大前沿技术的开发，加快成果转化，提升我省新能源电池及材料产业技术创新能力，做大做强新能源电池及材料产业。</w:t>
      </w:r>
      <w:r>
        <w:br w:type="page"/>
      </w:r>
    </w:p>
    <w:tbl>
      <w:tblPr>
        <w:tblStyle w:val="21"/>
        <w:tblpPr w:leftFromText="180" w:rightFromText="180" w:vertAnchor="text" w:horzAnchor="margin" w:tblpY="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5000" w:type="pct"/>
            <w:tcMar>
              <w:top w:w="113" w:type="dxa"/>
              <w:left w:w="113" w:type="dxa"/>
              <w:right w:w="113" w:type="dxa"/>
            </w:tcMar>
            <w:vAlign w:val="center"/>
          </w:tcPr>
          <w:p>
            <w:pPr>
              <w:spacing w:line="240" w:lineRule="auto"/>
              <w:ind w:firstLine="0" w:firstLineChars="0"/>
              <w:contextualSpacing/>
              <w:jc w:val="center"/>
              <w:rPr>
                <w:rFonts w:ascii="仿宋_GB2312"/>
                <w:b/>
                <w:bCs/>
                <w:sz w:val="24"/>
                <w:szCs w:val="24"/>
              </w:rPr>
            </w:pPr>
            <w:r>
              <w:rPr>
                <w:rFonts w:hint="eastAsia" w:ascii="仿宋_GB2312"/>
                <w:b/>
                <w:bCs/>
                <w:sz w:val="24"/>
                <w:szCs w:val="24"/>
              </w:rPr>
              <w:t>重点工程：第三方检测平台建设工程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5" w:hRule="atLeast"/>
        </w:trPr>
        <w:tc>
          <w:tcPr>
            <w:tcW w:w="5000" w:type="pct"/>
            <w:tcMar>
              <w:top w:w="113" w:type="dxa"/>
              <w:left w:w="113" w:type="dxa"/>
              <w:right w:w="113" w:type="dxa"/>
            </w:tcMar>
            <w:vAlign w:val="center"/>
          </w:tcPr>
          <w:p>
            <w:pPr>
              <w:ind w:firstLine="480"/>
              <w:contextualSpacing/>
              <w:rPr>
                <w:rFonts w:ascii="仿宋_GB2312"/>
                <w:sz w:val="24"/>
                <w:szCs w:val="24"/>
              </w:rPr>
            </w:pPr>
            <w:r>
              <w:rPr>
                <w:rFonts w:hint="eastAsia" w:ascii="仿宋_GB2312"/>
                <w:sz w:val="24"/>
                <w:szCs w:val="24"/>
              </w:rPr>
              <w:t>依托梅岭电源“动力电池及材料检测中心”，与贵州省质检院共建“贵州省动力电池及材料检测中心”。依托梅岭电源军工的关键技术优势和检测基础，搭建国家级第三方电池及材料检测平台，提升我省在新能源电池及材料行业的行业知名度，有利于省内的新能源产业投资和发展。</w:t>
            </w:r>
          </w:p>
          <w:p>
            <w:pPr>
              <w:ind w:firstLine="482"/>
              <w:contextualSpacing/>
              <w:rPr>
                <w:rFonts w:ascii="仿宋_GB2312"/>
                <w:sz w:val="24"/>
                <w:szCs w:val="24"/>
              </w:rPr>
            </w:pPr>
            <w:r>
              <w:rPr>
                <w:rFonts w:hint="eastAsia" w:ascii="仿宋_GB2312"/>
                <w:b/>
                <w:bCs/>
                <w:sz w:val="24"/>
                <w:szCs w:val="24"/>
              </w:rPr>
              <w:t>平台级别：</w:t>
            </w:r>
            <w:r>
              <w:rPr>
                <w:rFonts w:hint="eastAsia" w:ascii="仿宋_GB2312"/>
                <w:sz w:val="24"/>
                <w:szCs w:val="24"/>
              </w:rPr>
              <w:t>在现有检测能力的基础上，扩大检测范围和检测能力，积极申报国家级检测机构。</w:t>
            </w:r>
          </w:p>
          <w:p>
            <w:pPr>
              <w:ind w:firstLine="482"/>
              <w:contextualSpacing/>
              <w:rPr>
                <w:rFonts w:ascii="仿宋_GB2312"/>
                <w:sz w:val="24"/>
                <w:szCs w:val="24"/>
              </w:rPr>
            </w:pPr>
            <w:r>
              <w:rPr>
                <w:rFonts w:hint="eastAsia" w:ascii="仿宋_GB2312"/>
                <w:b/>
                <w:bCs/>
                <w:sz w:val="24"/>
                <w:szCs w:val="24"/>
              </w:rPr>
              <w:t>平台功能：</w:t>
            </w:r>
            <w:r>
              <w:rPr>
                <w:rFonts w:hint="eastAsia" w:ascii="仿宋_GB2312"/>
                <w:sz w:val="24"/>
                <w:szCs w:val="24"/>
              </w:rPr>
              <w:t>在军用领域，主要针对电池及电源产品的检测；在民用领域，针对电池和电池材料两个方面，在电池方面，为电池单体、电池模块、电池系统提供电池容量、功率性能、安全性能等评估测试服务。在电池材料方面，可实现材料组分的定量分析和微观形貌的定性表征等检测服务。</w:t>
            </w:r>
          </w:p>
          <w:p>
            <w:pPr>
              <w:ind w:firstLine="482"/>
              <w:contextualSpacing/>
              <w:rPr>
                <w:rFonts w:ascii="仿宋_GB2312"/>
                <w:sz w:val="24"/>
                <w:szCs w:val="24"/>
              </w:rPr>
            </w:pPr>
            <w:r>
              <w:rPr>
                <w:rFonts w:hint="eastAsia" w:ascii="仿宋_GB2312"/>
                <w:b/>
                <w:bCs/>
                <w:sz w:val="24"/>
                <w:szCs w:val="24"/>
              </w:rPr>
              <w:t>服务水平：</w:t>
            </w:r>
            <w:r>
              <w:rPr>
                <w:rFonts w:hint="eastAsia" w:ascii="仿宋_GB2312"/>
                <w:sz w:val="24"/>
                <w:szCs w:val="24"/>
              </w:rPr>
              <w:t>集检测、科研与学术交流为一体的综合机构，致力于将该平台打造成为电池及材料领域的检测权威机构。</w:t>
            </w:r>
          </w:p>
        </w:tc>
      </w:tr>
    </w:tbl>
    <w:p>
      <w:pPr>
        <w:pStyle w:val="4"/>
        <w:ind w:left="412"/>
      </w:pPr>
      <w:bookmarkStart w:id="63" w:name="_Toc118298141"/>
      <w:r>
        <w:rPr>
          <w:rFonts w:hint="eastAsia"/>
        </w:rPr>
        <w:t>（六）打造良好营商环境</w:t>
      </w:r>
      <w:bookmarkEnd w:id="63"/>
    </w:p>
    <w:p>
      <w:pPr>
        <w:ind w:firstLine="560"/>
      </w:pPr>
      <w:r>
        <w:rPr>
          <w:rFonts w:hint="eastAsia"/>
        </w:rPr>
        <w:t>专注新能源电池及材料产业，通过科学的项目管理、专业的人才队伍和合理的资金保障，为企业的运作营造良好的营商环境，为产业的发展奠定良好的基础。</w:t>
      </w:r>
    </w:p>
    <w:p>
      <w:pPr>
        <w:ind w:firstLine="562"/>
        <w:rPr>
          <w:b/>
          <w:bCs/>
        </w:rPr>
      </w:pPr>
      <w:r>
        <w:rPr>
          <w:rFonts w:hint="eastAsia"/>
          <w:b/>
          <w:bCs/>
        </w:rPr>
        <w:t>统一项目划分标准。</w:t>
      </w:r>
      <w:r>
        <w:rPr>
          <w:rFonts w:hint="eastAsia"/>
        </w:rPr>
        <w:t>在全省范围内全面梳理和整理产业相关项目，建立“新能源电池及材料产业项目库”，按产业链划分产业分类，针对我省多地新建投产的同类项目，按照统一标准执行，方便项目管理和监测，针对特别项目，可制定特别规定。对化工项目等特殊产业分类建立完善的产业标准体系，从省级层面制定化工项目认定标准，按照统一化、明确化、精准化原则，明确制度适用范围，严格落实并实时监督执行情况。</w:t>
      </w:r>
    </w:p>
    <w:p>
      <w:pPr>
        <w:ind w:firstLine="562"/>
      </w:pPr>
      <w:r>
        <w:rPr>
          <w:rFonts w:hint="eastAsia"/>
          <w:b/>
          <w:bCs/>
        </w:rPr>
        <w:t>壮大专业人才队伍</w:t>
      </w:r>
      <w:r>
        <w:rPr>
          <w:rFonts w:hint="eastAsia"/>
        </w:rPr>
        <w:t>。制定新能源电池及材料发展专项人才引进和培养计划，包括从工人到技术人员以及管理人员的培养，通过政府、企业与高校合作开办新能源电池、新能源材料相应专业，采用政府引导、企业指导、高校教学模式合力培养技术和管理人员，通过专设基础操作培训平台，培养企业所需一线操作工人，通过设立新能源电池及材料特殊人才引进计划，吸引技术骨干人员加入，合力壮大产业发展人才队伍。</w:t>
      </w:r>
    </w:p>
    <w:p>
      <w:pPr>
        <w:ind w:firstLine="562"/>
      </w:pPr>
      <w:r>
        <w:rPr>
          <w:rFonts w:hint="eastAsia"/>
          <w:b/>
          <w:bCs/>
        </w:rPr>
        <w:t>提高资金保障水平</w:t>
      </w:r>
      <w:r>
        <w:rPr>
          <w:rFonts w:hint="eastAsia"/>
        </w:rPr>
        <w:t>。依托我省设立的新动能产业发展基金、新型工业化发展基金，针对申请的新能源电池及材料项目进行合理评估，引导基金对目前产业链缺失环节企业、有新型技术研发企业、符合未来重点发展定位等企业予以优先支持。对于重点企业通过省级通道提供上市融资辅导、鼓励银行向重点企业放贷。</w:t>
      </w:r>
    </w:p>
    <w:p>
      <w:pPr>
        <w:pStyle w:val="3"/>
        <w:rPr>
          <w:color w:val="FF0000"/>
        </w:rPr>
      </w:pPr>
      <w:bookmarkStart w:id="64" w:name="_Toc118298142"/>
      <w:r>
        <w:rPr>
          <w:rFonts w:hint="eastAsia"/>
        </w:rPr>
        <w:t>七、保障措施</w:t>
      </w:r>
      <w:bookmarkEnd w:id="64"/>
    </w:p>
    <w:p>
      <w:pPr>
        <w:pStyle w:val="4"/>
        <w:ind w:left="412"/>
      </w:pPr>
      <w:bookmarkStart w:id="65" w:name="_Toc118298143"/>
      <w:r>
        <w:rPr>
          <w:rFonts w:hint="eastAsia"/>
        </w:rPr>
        <w:t>（一）组织领导</w:t>
      </w:r>
      <w:bookmarkEnd w:id="65"/>
    </w:p>
    <w:p>
      <w:pPr>
        <w:ind w:firstLine="560"/>
        <w:rPr>
          <w:color w:val="FF0000"/>
        </w:rPr>
      </w:pPr>
      <w:r>
        <w:rPr>
          <w:rFonts w:hint="eastAsia"/>
          <w:color w:val="000000" w:themeColor="text1"/>
          <w14:textFill>
            <w14:solidFill>
              <w14:schemeClr w14:val="tx1"/>
            </w14:solidFill>
          </w14:textFill>
        </w:rPr>
        <w:t>强化省新能源电池及材料工作专班协调各方的领导核心作用，为规划目标的落实提供坚强有力的组织保障。各项新能源电池及材料项目由省新能源电池及材料工作专班统筹推进，各地区各部门根据项目实际情况合理配置公共资源，加强规划实施的组织、协调、督导与监管，切实落实好本规划涉及本地区、本领域的目标和任务。省新能源电池及材料产业工作专班要履行主体责任，强化组织协调和授权、委托事项指导管理。各地区要承担具体落实责任，确保建设发展各项任务务实高效推进。</w:t>
      </w:r>
    </w:p>
    <w:p>
      <w:pPr>
        <w:pStyle w:val="4"/>
        <w:ind w:left="412"/>
      </w:pPr>
      <w:bookmarkStart w:id="66" w:name="_Toc118298144"/>
      <w:r>
        <w:rPr>
          <w:rFonts w:hint="eastAsia"/>
        </w:rPr>
        <w:t>（二）要素保障</w:t>
      </w:r>
      <w:bookmarkEnd w:id="66"/>
    </w:p>
    <w:p>
      <w:pPr>
        <w:ind w:firstLine="560"/>
        <w:rPr>
          <w:color w:val="FF0000"/>
        </w:rPr>
      </w:pPr>
      <w:r>
        <w:rPr>
          <w:rFonts w:hint="eastAsia"/>
          <w:color w:val="000000" w:themeColor="text1"/>
          <w14:textFill>
            <w14:solidFill>
              <w14:schemeClr w14:val="tx1"/>
            </w14:solidFill>
          </w14:textFill>
        </w:rPr>
        <w:t>围绕新能源电池及材料重点企业、重大项目和基础条件建设，统筹做好产业资金、人才、土地、能源等资源要素支持保障。对重大项目实行“一事一议”，并在资源要素给予一定的倾斜。落实项目土地、环保、安全生产、节能等政策，严格执行行业能耗准入、环境保护、安全生产等标准，健全节能标准和计量体系，完善节能评估制度。加强监管执行力度，严格约束性指标管理。</w:t>
      </w:r>
    </w:p>
    <w:p>
      <w:pPr>
        <w:pStyle w:val="4"/>
        <w:ind w:left="412"/>
      </w:pPr>
      <w:bookmarkStart w:id="67" w:name="_Toc118298145"/>
      <w:r>
        <w:rPr>
          <w:rFonts w:hint="eastAsia"/>
        </w:rPr>
        <w:t>（三）统筹规划</w:t>
      </w:r>
      <w:bookmarkEnd w:id="67"/>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建立省新能源电池及材料产业工作专班统筹、各地区有关部门参与的工作协调机制，完善规划实施体制机制，建立规划实施年度监测、中期评估和总结评估机制。各地区各部门要建立相应工作推进机制，研究协调解决新能源电池及材料产业建设的重大问题，制定相关政策措施，推动工作落实。适时开展评估，对规划目标、执行过程、实施效果进行系统分析和综合评价，推动规划目标任务落实完成。</w:t>
      </w:r>
    </w:p>
    <w:p>
      <w:pPr>
        <w:pStyle w:val="4"/>
        <w:ind w:left="412"/>
      </w:pPr>
      <w:bookmarkStart w:id="68" w:name="_Toc118298146"/>
      <w:r>
        <w:rPr>
          <w:rFonts w:hint="eastAsia"/>
        </w:rPr>
        <w:t>（四）宣传引导</w:t>
      </w:r>
      <w:bookmarkEnd w:id="68"/>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加大对全省新能源电池及材料产业发展的宣传力度，推广产业发展的成功经验，塑造产业发展形象，引导社会各界重视和积极参与到新能源电池及材料产业发展进程中。充分借助新媒体、电视、平面媒体、论坛、展会等载体，加大对贵州新能源电池及材料产业的企业、产品、技术的宣传推广。选择、培育一批对于贵州战略性新兴产业形象塑造有推动作用的活动平台，开展整体宣传展示，拓展产业发展空间。充分发挥行业协会、重点企业、大专院校和政府各部门作用，组织各方参与新能源电池及材料产业相关的各类交流活动，强化与先进地区的交流，学习和借鉴新能源电池及材料产业发展的有益经验。</w:t>
      </w:r>
    </w:p>
    <w:p>
      <w:pPr>
        <w:pStyle w:val="4"/>
        <w:ind w:left="412"/>
      </w:pPr>
      <w:bookmarkStart w:id="69" w:name="_Toc118298147"/>
      <w:r>
        <w:rPr>
          <w:rFonts w:hint="eastAsia"/>
        </w:rPr>
        <w:t>（五）产融结合</w:t>
      </w:r>
      <w:bookmarkEnd w:id="69"/>
    </w:p>
    <w:p>
      <w:pPr>
        <w:pStyle w:val="2"/>
        <w:ind w:firstLine="560"/>
      </w:pPr>
      <w:r>
        <w:rPr>
          <w:rFonts w:hint="eastAsia"/>
        </w:rPr>
        <w:t>强化金融对新能源电池及材料项目的支持，在信贷、债券、基金、保险等方面为新能源电池及材料产业发展提供一定支持，引导银行加大对新能源电池及材料产业的信贷支持，扩大新能源电池及材料企业债券发行规模，助力企业上市融资；加快金融产品和服务创新，引导更多社会资本投向新能源电池及材料产业领域，鼓励金融企业利用新一代信息技术进行融合性创新，支持金融机构依托金融科技提供个性化金融服务、探索创新性金融解决方案，提高金融支持新能源电池及材料产业发展的效率和精准度。</w:t>
      </w:r>
    </w:p>
    <w:p>
      <w:pPr>
        <w:pStyle w:val="4"/>
        <w:ind w:left="412"/>
      </w:pPr>
      <w:bookmarkStart w:id="70" w:name="_Toc118298148"/>
      <w:r>
        <w:rPr>
          <w:rFonts w:hint="eastAsia"/>
        </w:rPr>
        <w:t>（六）政策创新</w:t>
      </w:r>
      <w:bookmarkEnd w:id="70"/>
    </w:p>
    <w:p>
      <w:pPr>
        <w:pStyle w:val="2"/>
        <w:ind w:firstLine="560"/>
      </w:pPr>
      <w:r>
        <w:rPr>
          <w:rFonts w:hint="eastAsia"/>
        </w:rPr>
        <w:t>坚持问题导向，从企业发展中面临问题和需求入手，战略谋划政策措施，从企业关注的原材料保障、生产要素等方面制定出相关政策；坚持务实管用，依照企业相关情况制定出简洁精炼、务实管用的政策，确保每项政策均是从促进新能源电池及材料产业链发展和推动项目建设角度出发来制定；坚持系统推进，面对新能源电池及材料产业链规模较小、产业处于中低端所处的环境，进行战略化布局和产业化培育，重点推进新能源电池及材料产业强链补链延链工作，支持构建新能源电池及材料生产、研发、应用、回收为一体的产业链生态体系。</w:t>
      </w:r>
    </w:p>
    <w:p>
      <w:pPr>
        <w:pStyle w:val="2"/>
        <w:ind w:firstLine="560"/>
        <w:sectPr>
          <w:pgSz w:w="11906" w:h="16838"/>
          <w:pgMar w:top="1418" w:right="1531" w:bottom="1985" w:left="1531" w:header="851" w:footer="992" w:gutter="0"/>
          <w:pgNumType w:fmt="numberInDash"/>
          <w:cols w:space="425" w:num="1"/>
          <w:docGrid w:linePitch="312" w:charSpace="0"/>
        </w:sectPr>
      </w:pPr>
    </w:p>
    <w:p>
      <w:pPr>
        <w:pStyle w:val="3"/>
      </w:pPr>
      <w:bookmarkStart w:id="71" w:name="_Toc118298149"/>
      <w:r>
        <w:rPr>
          <w:rFonts w:hint="eastAsia"/>
        </w:rPr>
        <w:t>附件：新能源电池及材料研发生产基地重大项目规划（2022-2030年）</w:t>
      </w:r>
      <w:bookmarkEnd w:id="71"/>
    </w:p>
    <w:tbl>
      <w:tblPr>
        <w:tblStyle w:val="20"/>
        <w:tblW w:w="5000" w:type="pct"/>
        <w:tblInd w:w="0" w:type="dxa"/>
        <w:tblLayout w:type="autofit"/>
        <w:tblCellMar>
          <w:top w:w="0" w:type="dxa"/>
          <w:left w:w="108" w:type="dxa"/>
          <w:bottom w:w="0" w:type="dxa"/>
          <w:right w:w="108" w:type="dxa"/>
        </w:tblCellMar>
      </w:tblPr>
      <w:tblGrid>
        <w:gridCol w:w="822"/>
        <w:gridCol w:w="1352"/>
        <w:gridCol w:w="2464"/>
        <w:gridCol w:w="2464"/>
        <w:gridCol w:w="1816"/>
        <w:gridCol w:w="1303"/>
        <w:gridCol w:w="1303"/>
        <w:gridCol w:w="1304"/>
        <w:gridCol w:w="823"/>
      </w:tblGrid>
      <w:tr>
        <w:tblPrEx>
          <w:tblCellMar>
            <w:top w:w="0" w:type="dxa"/>
            <w:left w:w="108" w:type="dxa"/>
            <w:bottom w:w="0" w:type="dxa"/>
            <w:right w:w="108" w:type="dxa"/>
          </w:tblCellMar>
        </w:tblPrEx>
        <w:trPr>
          <w:trHeight w:val="520" w:hRule="atLeast"/>
          <w:tblHeader/>
        </w:trPr>
        <w:tc>
          <w:tcPr>
            <w:tcW w:w="307" w:type="pct"/>
            <w:tcBorders>
              <w:top w:val="single" w:color="auto" w:sz="4" w:space="0"/>
              <w:left w:val="single" w:color="auto" w:sz="4" w:space="0"/>
              <w:bottom w:val="single" w:color="auto" w:sz="4" w:space="0"/>
              <w:right w:val="single" w:color="auto" w:sz="4" w:space="0"/>
            </w:tcBorders>
            <w:shd w:val="clear" w:color="000000" w:fill="5B9BD5"/>
            <w:vAlign w:val="center"/>
          </w:tcPr>
          <w:p>
            <w:pPr>
              <w:widowControl/>
              <w:spacing w:line="240" w:lineRule="auto"/>
              <w:ind w:firstLine="0" w:firstLineChars="0"/>
              <w:jc w:val="center"/>
              <w:rPr>
                <w:rFonts w:ascii="黑体" w:hAnsi="黑体" w:eastAsia="黑体" w:cs="宋体"/>
                <w:b/>
                <w:bCs/>
                <w:color w:val="FFFFFF" w:themeColor="background1"/>
                <w:kern w:val="0"/>
                <w:sz w:val="20"/>
                <w:szCs w:val="20"/>
                <w14:textFill>
                  <w14:solidFill>
                    <w14:schemeClr w14:val="bg1"/>
                  </w14:solidFill>
                </w14:textFill>
              </w:rPr>
            </w:pPr>
            <w:r>
              <w:rPr>
                <w:rFonts w:hint="eastAsia" w:ascii="黑体" w:hAnsi="黑体" w:eastAsia="黑体" w:cs="宋体"/>
                <w:b/>
                <w:bCs/>
                <w:color w:val="FFFFFF" w:themeColor="background1"/>
                <w:kern w:val="0"/>
                <w:sz w:val="20"/>
                <w:szCs w:val="20"/>
                <w14:textFill>
                  <w14:solidFill>
                    <w14:schemeClr w14:val="bg1"/>
                  </w14:solidFill>
                </w14:textFill>
              </w:rPr>
              <w:t>序号</w:t>
            </w:r>
          </w:p>
        </w:tc>
        <w:tc>
          <w:tcPr>
            <w:tcW w:w="501" w:type="pct"/>
            <w:tcBorders>
              <w:top w:val="single" w:color="auto" w:sz="4" w:space="0"/>
              <w:left w:val="nil"/>
              <w:bottom w:val="single" w:color="auto" w:sz="4" w:space="0"/>
              <w:right w:val="single" w:color="auto" w:sz="4" w:space="0"/>
            </w:tcBorders>
            <w:shd w:val="clear" w:color="000000" w:fill="5B9BD5"/>
            <w:vAlign w:val="center"/>
          </w:tcPr>
          <w:p>
            <w:pPr>
              <w:widowControl/>
              <w:spacing w:line="240" w:lineRule="auto"/>
              <w:ind w:firstLine="0" w:firstLineChars="0"/>
              <w:jc w:val="center"/>
              <w:rPr>
                <w:rFonts w:ascii="黑体" w:hAnsi="黑体" w:eastAsia="黑体" w:cs="宋体"/>
                <w:b/>
                <w:bCs/>
                <w:color w:val="FFFFFF" w:themeColor="background1"/>
                <w:kern w:val="0"/>
                <w:sz w:val="20"/>
                <w:szCs w:val="20"/>
                <w14:textFill>
                  <w14:solidFill>
                    <w14:schemeClr w14:val="bg1"/>
                  </w14:solidFill>
                </w14:textFill>
              </w:rPr>
            </w:pPr>
            <w:r>
              <w:rPr>
                <w:rFonts w:hint="eastAsia" w:ascii="黑体" w:hAnsi="黑体" w:eastAsia="黑体" w:cs="宋体"/>
                <w:b/>
                <w:bCs/>
                <w:color w:val="FFFFFF" w:themeColor="background1"/>
                <w:kern w:val="0"/>
                <w:sz w:val="20"/>
                <w:szCs w:val="20"/>
                <w14:textFill>
                  <w14:solidFill>
                    <w14:schemeClr w14:val="bg1"/>
                  </w14:solidFill>
                </w14:textFill>
              </w:rPr>
              <w:t>项目分类</w:t>
            </w:r>
          </w:p>
        </w:tc>
        <w:tc>
          <w:tcPr>
            <w:tcW w:w="908" w:type="pct"/>
            <w:tcBorders>
              <w:top w:val="single" w:color="auto" w:sz="4" w:space="0"/>
              <w:left w:val="nil"/>
              <w:bottom w:val="single" w:color="auto" w:sz="4" w:space="0"/>
              <w:right w:val="single" w:color="auto" w:sz="4" w:space="0"/>
            </w:tcBorders>
            <w:shd w:val="clear" w:color="000000" w:fill="5B9BD5"/>
            <w:vAlign w:val="center"/>
          </w:tcPr>
          <w:p>
            <w:pPr>
              <w:widowControl/>
              <w:spacing w:line="240" w:lineRule="auto"/>
              <w:ind w:firstLine="0" w:firstLineChars="0"/>
              <w:jc w:val="center"/>
              <w:rPr>
                <w:rFonts w:ascii="黑体" w:hAnsi="黑体" w:eastAsia="黑体" w:cs="宋体"/>
                <w:b/>
                <w:bCs/>
                <w:color w:val="FFFFFF" w:themeColor="background1"/>
                <w:kern w:val="0"/>
                <w:sz w:val="20"/>
                <w:szCs w:val="20"/>
                <w14:textFill>
                  <w14:solidFill>
                    <w14:schemeClr w14:val="bg1"/>
                  </w14:solidFill>
                </w14:textFill>
              </w:rPr>
            </w:pPr>
            <w:r>
              <w:rPr>
                <w:rFonts w:hint="eastAsia" w:ascii="黑体" w:hAnsi="黑体" w:eastAsia="黑体" w:cs="宋体"/>
                <w:b/>
                <w:bCs/>
                <w:color w:val="FFFFFF" w:themeColor="background1"/>
                <w:kern w:val="0"/>
                <w:sz w:val="20"/>
                <w:szCs w:val="20"/>
                <w14:textFill>
                  <w14:solidFill>
                    <w14:schemeClr w14:val="bg1"/>
                  </w14:solidFill>
                </w14:textFill>
              </w:rPr>
              <w:t>企业名称</w:t>
            </w:r>
          </w:p>
        </w:tc>
        <w:tc>
          <w:tcPr>
            <w:tcW w:w="908" w:type="pct"/>
            <w:tcBorders>
              <w:top w:val="single" w:color="auto" w:sz="4" w:space="0"/>
              <w:left w:val="nil"/>
              <w:bottom w:val="single" w:color="auto" w:sz="4" w:space="0"/>
              <w:right w:val="single" w:color="auto" w:sz="4" w:space="0"/>
            </w:tcBorders>
            <w:shd w:val="clear" w:color="000000" w:fill="5B9BD5"/>
            <w:vAlign w:val="center"/>
          </w:tcPr>
          <w:p>
            <w:pPr>
              <w:widowControl/>
              <w:spacing w:line="240" w:lineRule="auto"/>
              <w:ind w:firstLine="0" w:firstLineChars="0"/>
              <w:jc w:val="center"/>
              <w:rPr>
                <w:rFonts w:ascii="黑体" w:hAnsi="黑体" w:eastAsia="黑体" w:cs="宋体"/>
                <w:b/>
                <w:bCs/>
                <w:color w:val="FFFFFF" w:themeColor="background1"/>
                <w:kern w:val="0"/>
                <w:sz w:val="20"/>
                <w:szCs w:val="20"/>
                <w14:textFill>
                  <w14:solidFill>
                    <w14:schemeClr w14:val="bg1"/>
                  </w14:solidFill>
                </w14:textFill>
              </w:rPr>
            </w:pPr>
            <w:r>
              <w:rPr>
                <w:rFonts w:hint="eastAsia" w:ascii="黑体" w:hAnsi="黑体" w:eastAsia="黑体" w:cs="宋体"/>
                <w:b/>
                <w:bCs/>
                <w:color w:val="FFFFFF" w:themeColor="background1"/>
                <w:kern w:val="0"/>
                <w:sz w:val="20"/>
                <w:szCs w:val="20"/>
                <w14:textFill>
                  <w14:solidFill>
                    <w14:schemeClr w14:val="bg1"/>
                  </w14:solidFill>
                </w14:textFill>
              </w:rPr>
              <w:t>项目名称</w:t>
            </w:r>
          </w:p>
        </w:tc>
        <w:tc>
          <w:tcPr>
            <w:tcW w:w="619" w:type="pct"/>
            <w:tcBorders>
              <w:top w:val="single" w:color="auto" w:sz="4" w:space="0"/>
              <w:left w:val="nil"/>
              <w:bottom w:val="single" w:color="auto" w:sz="4" w:space="0"/>
              <w:right w:val="single" w:color="auto" w:sz="4" w:space="0"/>
            </w:tcBorders>
            <w:shd w:val="clear" w:color="000000" w:fill="5B9BD5"/>
            <w:vAlign w:val="center"/>
          </w:tcPr>
          <w:p>
            <w:pPr>
              <w:widowControl/>
              <w:spacing w:line="240" w:lineRule="auto"/>
              <w:ind w:firstLine="0" w:firstLineChars="0"/>
              <w:jc w:val="center"/>
              <w:rPr>
                <w:rFonts w:ascii="黑体" w:hAnsi="黑体" w:eastAsia="黑体" w:cs="宋体"/>
                <w:b/>
                <w:bCs/>
                <w:color w:val="FFFFFF" w:themeColor="background1"/>
                <w:kern w:val="0"/>
                <w:sz w:val="20"/>
                <w:szCs w:val="20"/>
                <w14:textFill>
                  <w14:solidFill>
                    <w14:schemeClr w14:val="bg1"/>
                  </w14:solidFill>
                </w14:textFill>
              </w:rPr>
            </w:pPr>
            <w:r>
              <w:rPr>
                <w:rFonts w:hint="eastAsia" w:ascii="黑体" w:hAnsi="黑体" w:eastAsia="黑体" w:cs="宋体"/>
                <w:b/>
                <w:bCs/>
                <w:color w:val="FFFFFF" w:themeColor="background1"/>
                <w:kern w:val="0"/>
                <w:sz w:val="20"/>
                <w:szCs w:val="20"/>
                <w14:textFill>
                  <w14:solidFill>
                    <w14:schemeClr w14:val="bg1"/>
                  </w14:solidFill>
                </w14:textFill>
              </w:rPr>
              <w:t>项目建设周期</w:t>
            </w:r>
          </w:p>
        </w:tc>
        <w:tc>
          <w:tcPr>
            <w:tcW w:w="483" w:type="pct"/>
            <w:tcBorders>
              <w:top w:val="single" w:color="auto" w:sz="4" w:space="0"/>
              <w:left w:val="nil"/>
              <w:bottom w:val="single" w:color="auto" w:sz="4" w:space="0"/>
              <w:right w:val="single" w:color="auto" w:sz="4" w:space="0"/>
            </w:tcBorders>
            <w:shd w:val="clear" w:color="000000" w:fill="5B9BD5"/>
            <w:vAlign w:val="center"/>
          </w:tcPr>
          <w:p>
            <w:pPr>
              <w:widowControl/>
              <w:spacing w:line="240" w:lineRule="auto"/>
              <w:ind w:firstLine="0" w:firstLineChars="0"/>
              <w:jc w:val="center"/>
              <w:rPr>
                <w:rFonts w:ascii="黑体" w:hAnsi="黑体" w:eastAsia="黑体" w:cs="宋体"/>
                <w:b/>
                <w:bCs/>
                <w:color w:val="FFFFFF" w:themeColor="background1"/>
                <w:kern w:val="0"/>
                <w:sz w:val="20"/>
                <w:szCs w:val="20"/>
                <w14:textFill>
                  <w14:solidFill>
                    <w14:schemeClr w14:val="bg1"/>
                  </w14:solidFill>
                </w14:textFill>
              </w:rPr>
            </w:pPr>
            <w:r>
              <w:rPr>
                <w:rFonts w:hint="eastAsia" w:ascii="黑体" w:hAnsi="黑体" w:eastAsia="黑体" w:cs="宋体"/>
                <w:b/>
                <w:bCs/>
                <w:color w:val="FFFFFF" w:themeColor="background1"/>
                <w:kern w:val="0"/>
                <w:sz w:val="20"/>
                <w:szCs w:val="20"/>
                <w14:textFill>
                  <w14:solidFill>
                    <w14:schemeClr w14:val="bg1"/>
                  </w14:solidFill>
                </w14:textFill>
              </w:rPr>
              <w:t>总投资额</w:t>
            </w:r>
            <w:r>
              <w:rPr>
                <w:rFonts w:hint="eastAsia" w:ascii="黑体" w:hAnsi="黑体" w:eastAsia="黑体" w:cs="宋体"/>
                <w:b/>
                <w:bCs/>
                <w:color w:val="FFFFFF" w:themeColor="background1"/>
                <w:kern w:val="0"/>
                <w:sz w:val="20"/>
                <w:szCs w:val="20"/>
                <w14:textFill>
                  <w14:solidFill>
                    <w14:schemeClr w14:val="bg1"/>
                  </w14:solidFill>
                </w14:textFill>
              </w:rPr>
              <w:br w:type="textWrapping"/>
            </w:r>
            <w:r>
              <w:rPr>
                <w:rFonts w:hint="eastAsia" w:ascii="黑体" w:hAnsi="黑体" w:eastAsia="黑体" w:cs="宋体"/>
                <w:b/>
                <w:bCs/>
                <w:color w:val="FFFFFF" w:themeColor="background1"/>
                <w:kern w:val="0"/>
                <w:sz w:val="20"/>
                <w:szCs w:val="20"/>
                <w14:textFill>
                  <w14:solidFill>
                    <w14:schemeClr w14:val="bg1"/>
                  </w14:solidFill>
                </w14:textFill>
              </w:rPr>
              <w:t>（亿元）</w:t>
            </w:r>
          </w:p>
        </w:tc>
        <w:tc>
          <w:tcPr>
            <w:tcW w:w="483" w:type="pct"/>
            <w:tcBorders>
              <w:top w:val="single" w:color="auto" w:sz="4" w:space="0"/>
              <w:left w:val="nil"/>
              <w:bottom w:val="single" w:color="auto" w:sz="4" w:space="0"/>
              <w:right w:val="single" w:color="auto" w:sz="4" w:space="0"/>
            </w:tcBorders>
            <w:shd w:val="clear" w:color="000000" w:fill="5B9BD5"/>
            <w:vAlign w:val="center"/>
          </w:tcPr>
          <w:p>
            <w:pPr>
              <w:widowControl/>
              <w:spacing w:line="240" w:lineRule="auto"/>
              <w:ind w:firstLine="0" w:firstLineChars="0"/>
              <w:jc w:val="center"/>
              <w:rPr>
                <w:rFonts w:ascii="黑体" w:hAnsi="黑体" w:eastAsia="黑体" w:cs="宋体"/>
                <w:b/>
                <w:bCs/>
                <w:color w:val="FFFFFF" w:themeColor="background1"/>
                <w:kern w:val="0"/>
                <w:sz w:val="20"/>
                <w:szCs w:val="20"/>
                <w14:textFill>
                  <w14:solidFill>
                    <w14:schemeClr w14:val="bg1"/>
                  </w14:solidFill>
                </w14:textFill>
              </w:rPr>
            </w:pPr>
            <w:r>
              <w:rPr>
                <w:rFonts w:hint="eastAsia" w:ascii="黑体" w:hAnsi="黑体" w:eastAsia="黑体" w:cs="宋体"/>
                <w:b/>
                <w:bCs/>
                <w:color w:val="FFFFFF" w:themeColor="background1"/>
                <w:kern w:val="0"/>
                <w:sz w:val="20"/>
                <w:szCs w:val="20"/>
                <w14:textFill>
                  <w14:solidFill>
                    <w14:schemeClr w14:val="bg1"/>
                  </w14:solidFill>
                </w14:textFill>
              </w:rPr>
              <w:t>2025年产值（亿元）</w:t>
            </w:r>
          </w:p>
        </w:tc>
        <w:tc>
          <w:tcPr>
            <w:tcW w:w="483" w:type="pct"/>
            <w:tcBorders>
              <w:top w:val="single" w:color="auto" w:sz="4" w:space="0"/>
              <w:left w:val="nil"/>
              <w:bottom w:val="single" w:color="auto" w:sz="4" w:space="0"/>
              <w:right w:val="single" w:color="auto" w:sz="4" w:space="0"/>
            </w:tcBorders>
            <w:shd w:val="clear" w:color="000000" w:fill="5B9BD5"/>
            <w:vAlign w:val="center"/>
          </w:tcPr>
          <w:p>
            <w:pPr>
              <w:widowControl/>
              <w:spacing w:line="240" w:lineRule="auto"/>
              <w:ind w:firstLine="0" w:firstLineChars="0"/>
              <w:jc w:val="center"/>
              <w:rPr>
                <w:rFonts w:ascii="黑体" w:hAnsi="黑体" w:eastAsia="黑体" w:cs="宋体"/>
                <w:b/>
                <w:bCs/>
                <w:color w:val="FFFFFF" w:themeColor="background1"/>
                <w:kern w:val="0"/>
                <w:sz w:val="20"/>
                <w:szCs w:val="20"/>
                <w14:textFill>
                  <w14:solidFill>
                    <w14:schemeClr w14:val="bg1"/>
                  </w14:solidFill>
                </w14:textFill>
              </w:rPr>
            </w:pPr>
            <w:r>
              <w:rPr>
                <w:rFonts w:hint="eastAsia" w:ascii="黑体" w:hAnsi="黑体" w:eastAsia="黑体" w:cs="宋体"/>
                <w:b/>
                <w:bCs/>
                <w:color w:val="FFFFFF" w:themeColor="background1"/>
                <w:kern w:val="0"/>
                <w:sz w:val="20"/>
                <w:szCs w:val="20"/>
                <w14:textFill>
                  <w14:solidFill>
                    <w14:schemeClr w14:val="bg1"/>
                  </w14:solidFill>
                </w14:textFill>
              </w:rPr>
              <w:t>2030产值</w:t>
            </w:r>
            <w:r>
              <w:rPr>
                <w:rFonts w:hint="eastAsia" w:ascii="黑体" w:hAnsi="黑体" w:eastAsia="黑体" w:cs="宋体"/>
                <w:b/>
                <w:bCs/>
                <w:color w:val="FFFFFF" w:themeColor="background1"/>
                <w:kern w:val="0"/>
                <w:sz w:val="20"/>
                <w:szCs w:val="20"/>
                <w14:textFill>
                  <w14:solidFill>
                    <w14:schemeClr w14:val="bg1"/>
                  </w14:solidFill>
                </w14:textFill>
              </w:rPr>
              <w:br w:type="textWrapping"/>
            </w:r>
            <w:r>
              <w:rPr>
                <w:rFonts w:hint="eastAsia" w:ascii="黑体" w:hAnsi="黑体" w:eastAsia="黑体" w:cs="宋体"/>
                <w:b/>
                <w:bCs/>
                <w:color w:val="FFFFFF" w:themeColor="background1"/>
                <w:kern w:val="0"/>
                <w:sz w:val="20"/>
                <w:szCs w:val="20"/>
                <w14:textFill>
                  <w14:solidFill>
                    <w14:schemeClr w14:val="bg1"/>
                  </w14:solidFill>
                </w14:textFill>
              </w:rPr>
              <w:t>（亿元）</w:t>
            </w:r>
          </w:p>
        </w:tc>
        <w:tc>
          <w:tcPr>
            <w:tcW w:w="307" w:type="pct"/>
            <w:tcBorders>
              <w:top w:val="single" w:color="auto" w:sz="4" w:space="0"/>
              <w:left w:val="nil"/>
              <w:bottom w:val="single" w:color="auto" w:sz="4" w:space="0"/>
              <w:right w:val="single" w:color="auto" w:sz="4" w:space="0"/>
            </w:tcBorders>
            <w:shd w:val="clear" w:color="000000" w:fill="5B9BD5"/>
            <w:vAlign w:val="center"/>
          </w:tcPr>
          <w:p>
            <w:pPr>
              <w:widowControl/>
              <w:spacing w:line="240" w:lineRule="auto"/>
              <w:ind w:firstLine="0" w:firstLineChars="0"/>
              <w:jc w:val="center"/>
              <w:rPr>
                <w:rFonts w:ascii="黑体" w:hAnsi="黑体" w:eastAsia="黑体" w:cs="宋体"/>
                <w:b/>
                <w:bCs/>
                <w:color w:val="FFFFFF" w:themeColor="background1"/>
                <w:kern w:val="0"/>
                <w:sz w:val="20"/>
                <w:szCs w:val="20"/>
                <w14:textFill>
                  <w14:solidFill>
                    <w14:schemeClr w14:val="bg1"/>
                  </w14:solidFill>
                </w14:textFill>
              </w:rPr>
            </w:pPr>
            <w:r>
              <w:rPr>
                <w:rFonts w:hint="eastAsia" w:ascii="黑体" w:hAnsi="黑体" w:eastAsia="黑体" w:cs="宋体"/>
                <w:b/>
                <w:bCs/>
                <w:color w:val="FFFFFF" w:themeColor="background1"/>
                <w:kern w:val="0"/>
                <w:sz w:val="20"/>
                <w:szCs w:val="20"/>
                <w14:textFill>
                  <w14:solidFill>
                    <w14:schemeClr w14:val="bg1"/>
                  </w14:solidFill>
                </w14:textFill>
              </w:rPr>
              <w:t>市州</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贵阳比亚迪实业有限公司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新能源动力电池和立体交通系列项目-一期15GWh动力电池项目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2020-2023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300</w:t>
            </w:r>
          </w:p>
        </w:tc>
        <w:tc>
          <w:tcPr>
            <w:tcW w:w="483"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400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贵阳弗迪电池有限公司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贵阳弗迪二期年产15Gwh动力电池建设项目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2022.07-</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r>
              <w:rPr>
                <w:rFonts w:ascii="黑体" w:hAnsi="黑体" w:eastAsia="黑体" w:cs="宋体"/>
                <w:kern w:val="0"/>
                <w:sz w:val="20"/>
                <w:szCs w:val="20"/>
              </w:rPr>
              <w:t>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贵安弗迪电池有限公司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比亚迪10Gwh动力电池项目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2022-5至2022-10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116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宁德时代（贵州）新能源科技有限公司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宁德时代贵州新能源动力及储能电池生产制造基地项目（一期30GWh，预计2023年6月投产，二期30GWh}</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项目一期2022.2.16至2023.6.30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660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83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xml:space="preserve">贵州嘉盈科技有限公司 </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贵州嘉盈新能源智能化产业基地项目（一期1GWh，二期年产锂离子电池4GWh）</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2021.3-2025.1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40.56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69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贵阳比耐新能源科技有限公司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10GWh锂离子电池及其PACK生产线建设项目（一期）</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2021.12-2024.12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50.39</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59</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中瑞丰泰</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33万支（可穿戴电池）</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项目已建成，达产过程中</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1.98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汇洋世纪</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动力电池3GWh/年</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9</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贵州东森新能源科技有限公司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盘北开发区锂离子电池生产项目-年产1.5亿安时锂离子电池</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2017-2018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方形铝壳锂离子动力电池项目-年产0.5Gwh方形铝壳动力电池</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2022.7-2025.6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亿华通</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 1000 台车用氢燃料电池生产制造项目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2024-2025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贵州氢能效率能源科技有限公司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氢燃料电池热电联供系统生产制造项目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2023-2024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13</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贵州丹尼尔新能源</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日产5万支高倍率电池生产线</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2022.8-2022.12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104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14</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深圳聚能新能源</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建设动力电池清洁能源生产线2条，产能6000万Kh；建设储能清洁能源盛放线2条，年产储能能源5500万KWh</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贵州梅岭电源有限公司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自动化的锂离子电池生产线</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遵义</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16</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贵州省铜仁华迪斯新能源有限公司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年产2亿瓦时1期聚合物锂电池生产项目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2021-2023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17</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招商引资或自主研发扩产</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新型电池</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18</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贵州贵航新能源科技有限公司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目前拥有生产15万支/天的方形电池产能，10-12万支/天的圆柱电池产能，</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2015-2016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1.62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毕节市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19</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建设一条日产20万支圆柱锂离子电池生产线</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2022.06-2023.06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毕节市</w:t>
            </w:r>
          </w:p>
        </w:tc>
      </w:tr>
      <w:tr>
        <w:tblPrEx>
          <w:tblCellMar>
            <w:top w:w="0" w:type="dxa"/>
            <w:left w:w="108" w:type="dxa"/>
            <w:bottom w:w="0" w:type="dxa"/>
            <w:right w:w="108" w:type="dxa"/>
          </w:tblCellMar>
        </w:tblPrEx>
        <w:trPr>
          <w:trHeight w:val="57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贵州巨能科技新能源有限公司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日产15万只超级电容式电池生产线</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2018-2019</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0.9</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毕节市</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新增日产电芯50万只/天</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2021.7-2023.6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14</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毕节市</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贵州国创裕华氢能科技有限公司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建设氢能源燃料电池产线1条(2400 套/年氢空燃料电池电堆及 2400 套/年氢燃料电池发动机项目)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2022.8-2023.3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毕节市</w:t>
            </w:r>
          </w:p>
        </w:tc>
      </w:tr>
      <w:tr>
        <w:tblPrEx>
          <w:tblCellMar>
            <w:top w:w="0" w:type="dxa"/>
            <w:left w:w="108" w:type="dxa"/>
            <w:bottom w:w="0" w:type="dxa"/>
            <w:right w:w="108" w:type="dxa"/>
          </w:tblCellMar>
        </w:tblPrEx>
        <w:trPr>
          <w:trHeight w:val="60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23</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贵州金沃新能源有限公司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建设日产10万只软包锂电芯生产线</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2017-2018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0.75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3.75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毕节市</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24</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贵州迈锐新能源科技有限公司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建设8条聚合物锂电芯生产线</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2016-2017</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3.75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毕节市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25</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在现有厂房增加一条聚合物电芯生产线</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2022.7-2022.9</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0.075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毕节市</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26</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贵州凯瑞科技有限公司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建设2条聚合物锂离子电池生产线，实现日产聚合物锂离子电池4万只</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2017-2018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0.24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毕节市</w:t>
            </w:r>
          </w:p>
        </w:tc>
      </w:tr>
      <w:tr>
        <w:tblPrEx>
          <w:tblCellMar>
            <w:top w:w="0" w:type="dxa"/>
            <w:left w:w="108" w:type="dxa"/>
            <w:bottom w:w="0" w:type="dxa"/>
            <w:right w:w="108" w:type="dxa"/>
          </w:tblCellMar>
        </w:tblPrEx>
        <w:trPr>
          <w:trHeight w:val="104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27</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贵州柏高电子科技有限公司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年产约3.5亿粒扣式电池，项目分两期建设，建8条自动化扣式电池生产线，同时建办公室、技术研发车间等</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2022.1-2022.9（一期）</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毕节市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28</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贵州锂先生电子科技有限公司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建设锂电池及5G智能小家电生产线3条及相关配套设施</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2021.6-2023.6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安顺市</w:t>
            </w:r>
          </w:p>
        </w:tc>
      </w:tr>
      <w:tr>
        <w:tblPrEx>
          <w:tblCellMar>
            <w:top w:w="0" w:type="dxa"/>
            <w:left w:w="108" w:type="dxa"/>
            <w:bottom w:w="0" w:type="dxa"/>
            <w:right w:w="108" w:type="dxa"/>
          </w:tblCellMar>
        </w:tblPrEx>
        <w:trPr>
          <w:trHeight w:val="280" w:hRule="atLeast"/>
        </w:trPr>
        <w:tc>
          <w:tcPr>
            <w:tcW w:w="808" w:type="pct"/>
            <w:gridSpan w:val="2"/>
            <w:tcBorders>
              <w:top w:val="single" w:color="auto" w:sz="4" w:space="0"/>
              <w:left w:val="single" w:color="auto" w:sz="4" w:space="0"/>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电池合计</w:t>
            </w:r>
          </w:p>
        </w:tc>
        <w:tc>
          <w:tcPr>
            <w:tcW w:w="908"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共2</w:t>
            </w:r>
            <w:r>
              <w:rPr>
                <w:rFonts w:ascii="黑体" w:hAnsi="黑体" w:eastAsia="黑体" w:cs="宋体"/>
                <w:b/>
                <w:bCs/>
                <w:kern w:val="0"/>
                <w:sz w:val="20"/>
                <w:szCs w:val="20"/>
              </w:rPr>
              <w:t>8</w:t>
            </w:r>
            <w:r>
              <w:rPr>
                <w:rFonts w:hint="eastAsia" w:ascii="黑体" w:hAnsi="黑体" w:eastAsia="黑体" w:cs="宋体"/>
                <w:b/>
                <w:bCs/>
                <w:kern w:val="0"/>
                <w:sz w:val="20"/>
                <w:szCs w:val="20"/>
              </w:rPr>
              <w:t>个项目</w:t>
            </w:r>
          </w:p>
        </w:tc>
        <w:tc>
          <w:tcPr>
            <w:tcW w:w="908"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619"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774.0</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1543</w:t>
            </w:r>
            <w:r>
              <w:rPr>
                <w:rFonts w:ascii="黑体" w:hAnsi="黑体" w:eastAsia="黑体" w:cs="宋体"/>
                <w:b/>
                <w:bCs/>
                <w:kern w:val="0"/>
                <w:sz w:val="20"/>
                <w:szCs w:val="20"/>
              </w:rPr>
              <w:t>.0</w:t>
            </w:r>
          </w:p>
        </w:tc>
        <w:tc>
          <w:tcPr>
            <w:tcW w:w="307"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贵州开瑞科技有限公司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3万吨/年磷酸铁项目（息烽）</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2022.1-2022.6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贵州开瑞科技有限公司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6万吨/年磷酸铁项目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2022.10-2023.12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贵州开瑞科技有限公司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10万吨/年磷酸铁锂项目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2022.10-2023.12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贵州振华新材料有限公司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锂离子电池正极材料生产线建设项目（沙文二期）-1.2万吨锂离子电池正极材料智能化生产线</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2021-2022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26</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贵州振华新材料有限公司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振华新材料沙文一期锂离子电池正极材料生产线技改项目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2022-2023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26</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104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贵州振华新材料有限公司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振华新材料沙文二期锂离子电池正极材料生产线扩建项目-建设年产14000吨锂离子电池正极材料自动化生产线6条</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26</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104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贵州安达科技能源股份有限公司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35万吨/年磷酸铁锂及配套建设项目(一期6万吨），磷酸铁锂产能7万吨/年（安达目前产能磷酸铁12+磷酸铁锂9万吨）</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2022.08-2025.12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66.7</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400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600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57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贵州开阳安达科技能源有限公司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5万吨/年磷酸铁锂及配套建设项目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2020.09-2022.05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31</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9</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贵州邦盛新能源材料有限公司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磷酸铁、磷酸铁锂及储能级磷酸铁锂项目-一期：40万吨磷酸铁，15万吨磷酸铁锂</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2022.06-2023.04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贵州胜泽威化工有限公司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20万吨/年电池级磷酸铁</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2021.07—2023.09</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67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贵州中伟兴阳储能科技有限公司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开阳县中伟股份年产20万吨磷酸铁一体化建设项目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2022.07-2023.12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19.2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124</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其他新型正极材料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54</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13</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贵阳开磷化肥有限公司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40万吨/年湿法净化磷酸（85％H3PO4）项目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2022.5-2023.12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14</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贵州开磷集团股份有限公司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开磷集团股份有限公司40万吨（85%H3PO4）/年PPA项目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2020.4-2022.6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8.88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贵阳开磷化肥有限公司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贵阳开磷化肥有限公司13万吨/年改20万吨/年磷酸二氢铵项目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2022.2-2022.8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0.35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16</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贵州水成工业（集团）有限责任公司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建设碳酸锂、氢氧化锂生产线及其附属设施</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17</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六盘水市水城区能投实业（集团）有限公司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水城区年产 6 万吨电池级硫酸锰项目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18</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贵州水成工业（集团）有限责任公司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建设钴酸锂、锰酸锂以及三元材料等正极材料生产线及配套设施</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130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19</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贵州新仁新能源科技有限公司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规划三期建成年产 30 万吨储能与动力新型磷酸铁锂电池材料，其中一期建设 10 万吨产能，二期 12 万吨，三期 8 万吨，后续在平桥片区建设 2.5 万吨/年</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2021-2027</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133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341</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156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贵州合众锰业科技有限公司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一期：将年产 3 万吨高纯硫酸锰生产线技改成为 5 万吨电池级硫酸锰生产线；二期：建设 1条年产 10 万吨电池级硫酸锰生产线，三期：建设一条 3万吨三氧化二锰生产线及相关配套设施；</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贵州合众锰业科技有限公司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建设年产 20 万吨电池级硫酸锰及其附属设施</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贵州合众锰业科技有限公司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建设年产 10 万吨电解锰及其附属设施</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104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23</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贵州钟城本森锂业有限公司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项目主要建设锂精粉焙烧转晶、提锂精车间、电池级氢氧化锂微粉车间、电池级碳酸锂微粉车间6000吨，年产2万吨锂电池专用材料。</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2022.12-2024.12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11.19</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156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24</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贵州容百锂电材料有限公司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规划产能10万吨/年，分两期建设，一期产能1.5万吨/年（2019年已投产），二期产能目前5.8万吨/年，剩下两条产线明年11月份投产，今年年底产能达到7.5万吨/年。</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遵义</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25</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招商引资或自主研发扩产</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其他正极材料</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104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26</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中伟新材料股份有限公司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目前贵州三元前驱体产能15万吨/年，二期15万吨/年，15万吨高纯硫酸锰项目，后期计划产能扩张到60万吨</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2021-2030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57.2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240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480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27</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贵州能矿锰业集团有限公司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建设1条1.65万吨/年电解二氧化锰生产线和1条3万吨/年高纯硫酸锰生产线</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2022.10-2024.10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4.9</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28</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贵州百思特新能源材料有限公司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年产2万吨锂离子电池正极材料锰酸锂技改项目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2021-2022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26</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130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29</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贵州嘉尚新能源材料有限公司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主要建设年产10万吨锰酸锂正极材料生产线、年产4万吨三元正极材料、1万吨钴酸锂正极材料和10万吨磷酸铁锂正极材料生产线及相关配套设施</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2022-2024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180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260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贵州红星电子材料有限公司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年产10000吨镍钴锰三元复合氢氧化物再生利用产线建设项目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2022-2023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5万吨/年电池级高纯硫酸锰</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2022-2024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6000吨/年高端锰酸锂专用型四氧化三锰</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2022-2024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0.9</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33</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贵州金瑞新材料有限责任公司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年产5万吨高纯硫酸锰项目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34</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铜仁学院和深圳为方钠离子电池正极材料研究成果转化项目</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年产10万吨钠离子电池正极材料</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2023-2027</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35</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贵州大龙汇成新材料有限公司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新建年产5万吨钠离子电池正极材料前驱体项目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2025-2030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36</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贵州大龙汇成新材料有限公司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新建年产4万吨锂电池用四氧化三锰，年产3000吨电池基础材料结晶硫酸钴镍</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2021.7-2023.12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24</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37</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招商引资或自主研发扩产</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其他新型正极材料</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2025-2030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38</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贵州振华义龙新材料有限公司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黑体" w:hAnsi="黑体" w:eastAsia="黑体" w:cs="宋体"/>
                <w:kern w:val="0"/>
                <w:sz w:val="20"/>
                <w:szCs w:val="20"/>
              </w:rPr>
            </w:pPr>
            <w:r>
              <w:rPr>
                <w:rFonts w:hint="eastAsia" w:ascii="黑体" w:hAnsi="黑体" w:eastAsia="黑体" w:cs="宋体"/>
                <w:kern w:val="0"/>
                <w:sz w:val="20"/>
                <w:szCs w:val="20"/>
              </w:rPr>
              <w:t>三元正极材料一期产能2万吨/年（已投产）</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2017.1-2018.1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12.49</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39</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黑体" w:hAnsi="黑体" w:eastAsia="黑体" w:cs="宋体"/>
                <w:kern w:val="0"/>
                <w:sz w:val="20"/>
                <w:szCs w:val="20"/>
              </w:rPr>
            </w:pPr>
            <w:r>
              <w:rPr>
                <w:rFonts w:hint="eastAsia" w:ascii="黑体" w:hAnsi="黑体" w:eastAsia="黑体" w:cs="宋体"/>
                <w:kern w:val="0"/>
                <w:sz w:val="20"/>
                <w:szCs w:val="20"/>
              </w:rPr>
              <w:t>二期产能2万吨/年（已投产）</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2018.2-2019.7</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12.49</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40</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三期10万吨三元正极、10万吨钠离子电池材料项目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180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贵州鑫茂新能源技术有限公司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一期工程建设2万吨/年正极材料</w:t>
            </w:r>
          </w:p>
        </w:tc>
        <w:tc>
          <w:tcPr>
            <w:tcW w:w="619"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2022.5-2024.5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二期工程建设2万吨/年正极材料</w:t>
            </w:r>
          </w:p>
        </w:tc>
        <w:tc>
          <w:tcPr>
            <w:tcW w:w="61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43</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宏科新能源有限公司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年产3万吨电池级四氧化三锰、1 万吨锰酸锂、1万吨高镍正极材料</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44</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招商引资或自主研发扩产</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新型正极材料</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45</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贵州丕丕丕电子科技有限公司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一期建设5条锰酸锂正极材料生产线，日产锰酸锂13吨</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2017-2019年</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0.43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26</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毕节市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46</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二期建设3条钴酸锂正极材料生产线，日产钴酸锂5.5吨</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2022.03-2022.12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0.36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13</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毕节市</w:t>
            </w:r>
          </w:p>
        </w:tc>
      </w:tr>
      <w:tr>
        <w:tblPrEx>
          <w:tblCellMar>
            <w:top w:w="0" w:type="dxa"/>
            <w:left w:w="108" w:type="dxa"/>
            <w:bottom w:w="0" w:type="dxa"/>
            <w:right w:w="108" w:type="dxa"/>
          </w:tblCellMar>
        </w:tblPrEx>
        <w:trPr>
          <w:trHeight w:val="50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47</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贵州鹏博新材料有限公司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年产10万吨磷酸铁锂正极材料项目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2022.9-2023.6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毕节市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48</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贵州唯特高新能源科技有限公司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10000吨/年安全锂电池-磷酸铁锂正极材料项目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2016-2018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毕节市</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49</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年产5000吨锰酸锂项目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2018-2020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13</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毕节市</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50</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安顺远景新材料有限公司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年产6000吨电池级碳酸锂项目（一期），目前建成3000吨/年，二期规划年产3000吨电池级碳酸锂</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2020-2022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0.7</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安顺市</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贵州磷化新材料科技有限责任公司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4万吨/年磷酸铁项目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2021.9－2022.5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3.69</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20万吨/年磷酸铁项目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2022.5－2023.6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24</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53</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10万吨磷酸铁锂项目（分两期）</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2022.6－2024.12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54</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贵州裕能新能源电池材料有限公司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一期年产15万吨磷酸铁锂生产线项目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2021.10-2022.6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90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55</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二期磷矿石全量化利用年产20万吨磷酸铁锂前驱体(新型能源材料)生产线</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2022.6-2023.12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24</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56</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三期年产15万吨磷酸铁锂及磷矿石全量化利用年产10万吨磷酸铁锂前驱体（新型能源材料）</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27</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52</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57</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盛屯能源金属化学（贵州）有限公司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2万金属吨高冰镍、15万吨电池级硫酸镍及金、银、铂、钯综合回收生产线</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2021.11-2023.6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63</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58</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建设15万吨电池级硫酸镍，1万金吨电池级硫酸钴(四氧化三钴)，30万吨电池级磷酸铁。</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2022.12-2024.06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36</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59</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贵州胜威福全化工有限公司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建设20万吨/年电池级磷酸铁新材料和副产18万吨/年硫酸铵项目一期</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2022.10-2023.8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44</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60</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贵州川恒化工股份有限公司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一期年产10万吨无水磷酸铁项目正在建设，预计2022年三季度投产</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2021.10-2022.7</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4.97</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二期年产10万吨无水磷酸铁项目，预计2023年6月投产</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2022-2023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4.97</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贵州川恒化工股份有限公司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川恒“矿化一体”新能源材料循环产业项目一期，建成40万吨电池用磷酸铁生产线</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2023.2-2024.2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24</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114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63</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川恒“矿化一体”新能源材料循环产业项目二期，建成40万吨电池用磷酸铁生产线、10万吨磷酸铁锂</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2024.2-2025.2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104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64</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贵州恒昌新能源材料有限公司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黑体" w:hAnsi="黑体" w:eastAsia="黑体" w:cs="宋体"/>
                <w:kern w:val="0"/>
                <w:sz w:val="20"/>
                <w:szCs w:val="20"/>
              </w:rPr>
            </w:pPr>
            <w:r>
              <w:rPr>
                <w:rFonts w:hint="eastAsia" w:ascii="黑体" w:hAnsi="黑体" w:eastAsia="黑体" w:cs="宋体"/>
                <w:kern w:val="0"/>
                <w:sz w:val="20"/>
                <w:szCs w:val="20"/>
              </w:rPr>
              <w:t>瓮安“矿化一体”一期新建30万吨/年电池用磷酸铁、20万吨/年净化磷酸生产线、3万吨/年无水氟化氢生产线及配套装置等</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2022.3-2023.12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61</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104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65</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黑体" w:hAnsi="黑体" w:eastAsia="黑体" w:cs="宋体"/>
                <w:kern w:val="0"/>
                <w:sz w:val="20"/>
                <w:szCs w:val="20"/>
              </w:rPr>
            </w:pPr>
            <w:r>
              <w:rPr>
                <w:rFonts w:hint="eastAsia" w:ascii="黑体" w:hAnsi="黑体" w:eastAsia="黑体" w:cs="宋体"/>
                <w:kern w:val="0"/>
                <w:sz w:val="20"/>
                <w:szCs w:val="20"/>
              </w:rPr>
              <w:t>瓮安“矿化一体”二期新建30万吨/年电池用磷酸铁、20万吨/年净化磷酸生产线、3万吨/年无水氟化氢生产线及配套装置等；</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2024.4-2026.4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37.2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36</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66</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贵州恒轩新能源材料有限公司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10万吨/年无水磷酸铁生产装置及配套的公辅设施</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2022.12-2023.3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5.06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67</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贵州雅友新材料有限公司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瓮安县年产30万吨电池级磷酸铁一体化整体项目（一期10万吨）</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2022.4-2022.12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24</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68</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瓮安县年产30万吨电池级磷酸铁一体化整体项目（二期20万吨）</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2023.1-2024.12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27.4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48</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66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69</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贵州胜泓威新材料科技有限公司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10万吨/年电池级磷酸铁新材料及其配套项目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2022.6-2025.12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11.6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28</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66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70</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贵州胜泓威新材料科技有限公司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20万吨/年电池级磷酸铁锂及其配套项目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2023.05-2025.05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32.2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74</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贵州芭田新能源材料有限公司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一期建设年产5万吨磷酸铁、年产5万吨硝酸法工业磷酸、年产2500吨磷酸铁锂</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2022.3-2022.11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二期建设年产10万吨磷酸铁、年产5万吨硝酸法工业磷酸、年产5万吨磷酸铁锂</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2022.10-2023.12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37</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73</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三期建设年产15万吨磷酸铁、年产5万吨硝酸法工业磷酸</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2023.12-2025.12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32</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104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74</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贵州安柯新能源科技有限公司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瓮安县年产40万吨电池级磷酸铁、10万吨磷酸铁锂及配套项目（一期年产20万吨电池级磷酸铁、2万吨磷酸铁锂及配套项目）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2022.8-2025.12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75</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二期建设年产10万吨磷酸铁</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2023.6-2024.5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76</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三期建设年产10万吨磷酸铁、8万吨磷酸铁锂项目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2024.12-2025.11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77</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誉福隆功能新材料公司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建设3.5万吨/年电池级碳酸锂和1.5万吨/年氢氧化锂生产线及相关附属配套设施</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土地未落实，建设时间待定</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18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78</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金正大诺泰尔化学有限公司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扩产建设20万吨/年湿法磷酸装置用于生产净化磷酸；扩建年净化处理50万吨湿法磷酸生产30万吨净化磷酸装置；依托现有20万吨水溶肥生产装置提质改造建设40万吨电池用磷酸二氢铵（工业一铵）技改扩能项目装置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2022.3-2022.12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3.75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79</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贵州凯迪森新能源材料有限公司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瓮安县新能源产业链绿色氧化剂双氧水综合项目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2022.11-2025.11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59</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88</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80</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贵州天美锂能新材料有限公司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瓮安县年产6500吨高纯锂电材料项目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2022.10-2023.10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正极及其材料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贵州磷化集团</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磷系新材料及电子化学品项目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2022.7-2025.12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220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338</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280" w:hRule="atLeast"/>
        </w:trPr>
        <w:tc>
          <w:tcPr>
            <w:tcW w:w="808" w:type="pct"/>
            <w:gridSpan w:val="2"/>
            <w:tcBorders>
              <w:top w:val="single" w:color="auto" w:sz="4" w:space="0"/>
              <w:left w:val="single" w:color="auto" w:sz="4" w:space="0"/>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正极及其材料合计</w:t>
            </w:r>
          </w:p>
        </w:tc>
        <w:tc>
          <w:tcPr>
            <w:tcW w:w="908"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共8</w:t>
            </w:r>
            <w:r>
              <w:rPr>
                <w:rFonts w:ascii="黑体" w:hAnsi="黑体" w:eastAsia="黑体" w:cs="宋体"/>
                <w:b/>
                <w:bCs/>
                <w:kern w:val="0"/>
                <w:sz w:val="20"/>
                <w:szCs w:val="20"/>
              </w:rPr>
              <w:t>1</w:t>
            </w:r>
            <w:r>
              <w:rPr>
                <w:rFonts w:hint="eastAsia" w:ascii="黑体" w:hAnsi="黑体" w:eastAsia="黑体" w:cs="宋体"/>
                <w:b/>
                <w:bCs/>
                <w:kern w:val="0"/>
                <w:sz w:val="20"/>
                <w:szCs w:val="20"/>
              </w:rPr>
              <w:t>个项目</w:t>
            </w:r>
          </w:p>
        </w:tc>
        <w:tc>
          <w:tcPr>
            <w:tcW w:w="908"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619"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2998.5</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5449.5</w:t>
            </w:r>
          </w:p>
        </w:tc>
        <w:tc>
          <w:tcPr>
            <w:tcW w:w="307"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贵安新区中科星城石墨有限公司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年产10万吨锂电池负极材料一体化生产建设项目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一期2022.4-2024.4；项目二期待定</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盘州福马炭材料科技有限公司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 12 万吨针状焦、30 万吨煤焦油加工、年产 20万吨苯加氢和年产 30 万吨环己酮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38.28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33</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130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中伟新材料股份有限公司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建设和经营锂系电池正极材料，锂系电池负极材料、钠系电池正负极材料的研发、生</w:t>
            </w:r>
            <w:r>
              <w:rPr>
                <w:rFonts w:hint="eastAsia" w:ascii="黑体" w:hAnsi="黑体" w:eastAsia="黑体" w:cs="宋体"/>
                <w:kern w:val="0"/>
                <w:sz w:val="20"/>
                <w:szCs w:val="20"/>
              </w:rPr>
              <w:br w:type="textWrapping"/>
            </w:r>
            <w:r>
              <w:rPr>
                <w:rFonts w:hint="eastAsia" w:ascii="黑体" w:hAnsi="黑体" w:eastAsia="黑体" w:cs="宋体"/>
                <w:kern w:val="0"/>
                <w:sz w:val="20"/>
                <w:szCs w:val="20"/>
              </w:rPr>
              <w:t>产，打造煤-焦-化-电-气-材一体化产业</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260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贵州镕锂新材料科技有限公司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10万吨负极材料</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48</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贵州中科星城石墨有限公司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年产3万吨锂电池负极材料及4.5万吨石墨化加工建设项目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2021.4-2023.3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13.5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贵州中科星城石墨有限公司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年产10万吨钠离子电池硬碳负极材料项目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2025-2030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博邦山河（贵州）新材料有限公司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年产8万吨一体化锂电池负极材料及石墨项目（一期）</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2022-2024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博邦山河（贵州）新材料有限公司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年产7万吨一体化锂电池负极材料及石墨项目（二期）</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9</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贵州凯金新能源科技有限公司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项目建成后形成年产10万吨负极材料石墨化的生产能力</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2022-2024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22.9</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贵州凯金新能源科技有限公司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年产20万吨负极材料石墨化项目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微蓝新材料有限公司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年产1万吨石墨化负极材料项目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深圳为方能源科技有限公司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年产3万吨钠离子电池负极材料项目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2023-2027</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13</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贵州东岛新能源材料有限公司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年产15万吨高端动力电池材料建设项目（一期）6万吨</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2021.11-2023.10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14</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年产15万吨高端动力电池材料建设项目（二期）9万吨</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2023.11-2025.10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贵州羚光新能源材料有限公司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年产2万吨锂电石墨负极材料项目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2021年8月建成投产</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9</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16</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年产3万吨锂电负极材料项目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2022-2023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13.5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17</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年产5万吨锂电负极材料项目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2024-2025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18</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晖阳（贵州）新能源材料有限公司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年产10万吨锂电池负极材料项目（一期5万吨）</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2022-2024，2022年建成2万吨负极材料生产线</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19</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年产10万吨锂电池负极材料项目（二期5万吨）</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贵州古德孚新能源科技有限公司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年产1.5万吨锂电池负极材料全产业链项目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预计2022年8月投产</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6.75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贵州黑翼新能源科技有限公司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年产1.5万吨锂电池负极材料全产业链项目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预计2022年8月投产</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6.75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贵州新创硅基新材料科技有限公司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建设规模为 50000t/a 锂离子电池石墨负极材料成品</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2022.6-2022.12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9</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23</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xml:space="preserve">贵州鑫德新能源科技有限公司 </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xml:space="preserve"> 1.5 万吨锂电池负极材料全产业链项目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2022.6-2022.12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24</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贵州创金新能源科技有限公司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1.5万吨锂电池负极材料全产业链项目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2022.6-2022.12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25</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贵州鑫茂新能源技术有限公司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一期工程建设6万吨/年石墨负极材料</w:t>
            </w:r>
          </w:p>
        </w:tc>
        <w:tc>
          <w:tcPr>
            <w:tcW w:w="619"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2022.5-2024.5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14.64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26</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二期工程建设4万吨/年石墨负极材料</w:t>
            </w:r>
          </w:p>
        </w:tc>
        <w:tc>
          <w:tcPr>
            <w:tcW w:w="61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9.76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27</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贵州长松新材料科技有限公司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建成2万吨天然高纯石墨生产线</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2020.11-2022.3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28</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贵州明晟新材料有限公司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义龙新区石墨坩埚6万套产业园区及基础配套设施建设项目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2022-2023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29</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招商引资或自主研发扩产</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新型负极材料</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贵州玖碳科技有限公司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建设年产5000吨石墨烯负极材料，一期2000吨生产项目，二期年产3000吨</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2021.4-2023.4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毕节市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贵州安特普新能源材料有限公司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年产3万吨锂离子电池负极材料石墨化加工项目（一期）建设项目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2022年年底建成达产</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3.65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22</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安顺市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公司二期规划7万吨石墨化项目，或改为一体化项目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8.52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28</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安顺市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33</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贵州长宇新材料有限公司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年产1万吨高纯特种石墨（等静压石墨）</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2021.10-2024.10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黔东南</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34</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负极及其材料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贵州云烯新材料科技有限公司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建设6万吨石墨烯锂离子电池负极材料项目（一期）</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2022.4-2024.4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黔东南</w:t>
            </w:r>
          </w:p>
        </w:tc>
      </w:tr>
      <w:tr>
        <w:tblPrEx>
          <w:tblCellMar>
            <w:top w:w="0" w:type="dxa"/>
            <w:left w:w="108" w:type="dxa"/>
            <w:bottom w:w="0" w:type="dxa"/>
            <w:right w:w="108" w:type="dxa"/>
          </w:tblCellMar>
        </w:tblPrEx>
        <w:trPr>
          <w:trHeight w:val="280" w:hRule="atLeast"/>
        </w:trPr>
        <w:tc>
          <w:tcPr>
            <w:tcW w:w="808" w:type="pct"/>
            <w:gridSpan w:val="2"/>
            <w:tcBorders>
              <w:top w:val="single" w:color="auto" w:sz="4" w:space="0"/>
              <w:left w:val="single" w:color="auto" w:sz="4" w:space="0"/>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负极及其材料合计</w:t>
            </w:r>
          </w:p>
        </w:tc>
        <w:tc>
          <w:tcPr>
            <w:tcW w:w="908"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共27个项目</w:t>
            </w:r>
          </w:p>
        </w:tc>
        <w:tc>
          <w:tcPr>
            <w:tcW w:w="908"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619"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341.8</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705.0</w:t>
            </w:r>
          </w:p>
        </w:tc>
        <w:tc>
          <w:tcPr>
            <w:tcW w:w="307"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电解液及其材料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磷化集团新能源公司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1万吨/年六氟磷酸锂项目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2022.03-2023.03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9.88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电解液及其材料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贵州磷化氟硅科技有限公司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年产3万吨氟化氢/氢氟酸项目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2021.3－2022.5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3.28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9</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电解液及其材料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贵州航盛锂能科技有限公司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年产3万吨锂电池电解液项目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2022.5-2023.12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电解液及其材料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贵州时代思康新材料有限公司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高性能含氟新型锂盐（双氟磺酰亚胺锂）生产项目（一期）</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2022.10-2023.12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电解液及其材料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贵州瓮福开磷氟硅新材料有限公司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在现有年产3万吨无水氟化氢装置基础上进行升级改造，产能从3万吨升级到4万吨。</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2021.04-2022.08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0.45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286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电解液及其材料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新天鑫化工</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解液溶剂-碳酸二甲酯50万吨/年。建设315000t/a(电池级9.5万吨/年，其中一期4.5万吨/年，二期5万吨/年;优级22万吨/年);碳酸甲乙酯150000t/a(电池级15万吨/年，其中一期5万吨/年，二期10万吨/年);碳酸二乙酯15000t/a(电池级1.5万吨/年，其中一期0.4万吨/年，二期1.1万吨/年);草酸20000t/a(二期建设)生产线及相关配套设施</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2022.10-2024.07</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36.69</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电解液及其材料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其他电解液添加剂</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电解液添加剂项目3万吨</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电解液及其材料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xml:space="preserve">贵州光瑞新能源科技有限公司 </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现有产能6000吨/年</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2018-2019</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14</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毕节市</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9</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电解液及其材料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贵州华天香科贸有限公司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年产15600吨锂电池添加剂项目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2021.10-2023.10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3.7</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安顺市</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电解液及其材料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一期年产4万吨，二期年产3万吨</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45.2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安顺市</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电解液及其材料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贵州兴锂新能源科技有限公司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现有产能2万吨/年</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已建成</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黔东南</w:t>
            </w:r>
          </w:p>
        </w:tc>
      </w:tr>
      <w:tr>
        <w:tblPrEx>
          <w:tblCellMar>
            <w:top w:w="0" w:type="dxa"/>
            <w:left w:w="108" w:type="dxa"/>
            <w:bottom w:w="0" w:type="dxa"/>
            <w:right w:w="108" w:type="dxa"/>
          </w:tblCellMar>
        </w:tblPrEx>
        <w:trPr>
          <w:trHeight w:val="130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电解液及其材料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贵州聚瑞新材料科技有限公司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产能规模为2000吨，一期建设(1,3-PS)电解液添加剂DCS自动线4条，综合材料省级研发中心;二期建设(1,3-PS)电解液添加剂DCS自动线2条</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2022.4-2024.4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黔东南</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13</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电解液及其材料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贵州水成工业（集团）有限责任公司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 2 万吨六氟磷酸锂电解液生产线及附属设施</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14</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电解液及其材料</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贵州战马新能源材料有限公司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一期项目建设2万吨/年六氟磷酸锂，副产10万吨/年盐酸；</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2022.6-2023.4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电解液及其材料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二期建设2000吨/年双氟以及溶剂、1万吨/年添加剂、5万吨/年五氯化磷、3万吨/年无水氟化氢；</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2023.3—2024.12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16</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电解液及其材料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三期建设30万吨/年电解液。</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2023.12—2025.6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17</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电解液及其材料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贵州恒冠新能源材料有限公司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年产8万吨六氟磷酸锂及配套项目（一期4万吨，二期4万吨），6.5万吨五氯化磷</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2022.7-2024.12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240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18</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电解液及其材料</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招商引资或自主研发扩产</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48</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19</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电解液及其材料</w:t>
            </w:r>
          </w:p>
        </w:tc>
        <w:tc>
          <w:tcPr>
            <w:tcW w:w="90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贵州川恒化工股份有限公司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川恒“矿化一体”新能源材料循环产业项目一期：建成2万吨电池级六氟磷酸锂生产线。</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2023.2-2024.2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7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电解液及其材料</w:t>
            </w:r>
          </w:p>
        </w:tc>
        <w:tc>
          <w:tcPr>
            <w:tcW w:w="90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黑体" w:hAnsi="黑体" w:eastAsia="黑体" w:cs="宋体"/>
                <w:kern w:val="0"/>
                <w:sz w:val="20"/>
                <w:szCs w:val="20"/>
              </w:rPr>
            </w:pP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川恒“矿化一体”新能源材料循环产业项目二期，建成2万吨电池级六氟磷酸锂</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2024.2-2025.2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27</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黔南州</w:t>
            </w:r>
          </w:p>
        </w:tc>
      </w:tr>
      <w:tr>
        <w:tblPrEx>
          <w:tblCellMar>
            <w:top w:w="0" w:type="dxa"/>
            <w:left w:w="108" w:type="dxa"/>
            <w:bottom w:w="0" w:type="dxa"/>
            <w:right w:w="108" w:type="dxa"/>
          </w:tblCellMar>
        </w:tblPrEx>
        <w:trPr>
          <w:trHeight w:val="280" w:hRule="atLeast"/>
        </w:trPr>
        <w:tc>
          <w:tcPr>
            <w:tcW w:w="808" w:type="pct"/>
            <w:gridSpan w:val="2"/>
            <w:tcBorders>
              <w:top w:val="single" w:color="auto" w:sz="4" w:space="0"/>
              <w:left w:val="single" w:color="auto" w:sz="4" w:space="0"/>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电解液及其材料合计</w:t>
            </w:r>
          </w:p>
        </w:tc>
        <w:tc>
          <w:tcPr>
            <w:tcW w:w="908"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共</w:t>
            </w:r>
            <w:r>
              <w:rPr>
                <w:rFonts w:ascii="黑体" w:hAnsi="黑体" w:eastAsia="黑体" w:cs="宋体"/>
                <w:b/>
                <w:bCs/>
                <w:kern w:val="0"/>
                <w:sz w:val="20"/>
                <w:szCs w:val="20"/>
              </w:rPr>
              <w:t>20</w:t>
            </w:r>
            <w:r>
              <w:rPr>
                <w:rFonts w:hint="eastAsia" w:ascii="黑体" w:hAnsi="黑体" w:eastAsia="黑体" w:cs="宋体"/>
                <w:b/>
                <w:bCs/>
                <w:kern w:val="0"/>
                <w:sz w:val="20"/>
                <w:szCs w:val="20"/>
              </w:rPr>
              <w:t>个项目</w:t>
            </w:r>
          </w:p>
        </w:tc>
        <w:tc>
          <w:tcPr>
            <w:tcW w:w="908"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619"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474.7</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1124.5</w:t>
            </w:r>
          </w:p>
        </w:tc>
        <w:tc>
          <w:tcPr>
            <w:tcW w:w="307"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隔膜</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贵州水成工业（集团）有限责任公司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建设锂电池隔膜生产线及附属设施</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隔膜</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280" w:hRule="atLeast"/>
        </w:trPr>
        <w:tc>
          <w:tcPr>
            <w:tcW w:w="808" w:type="pct"/>
            <w:gridSpan w:val="2"/>
            <w:tcBorders>
              <w:top w:val="single" w:color="auto" w:sz="4" w:space="0"/>
              <w:left w:val="single" w:color="auto" w:sz="4" w:space="0"/>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隔膜合计</w:t>
            </w:r>
          </w:p>
        </w:tc>
        <w:tc>
          <w:tcPr>
            <w:tcW w:w="908"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规划2</w:t>
            </w:r>
            <w:r>
              <w:rPr>
                <w:rFonts w:ascii="黑体" w:hAnsi="黑体" w:eastAsia="黑体" w:cs="宋体"/>
                <w:b/>
                <w:bCs/>
                <w:kern w:val="0"/>
                <w:sz w:val="20"/>
                <w:szCs w:val="20"/>
              </w:rPr>
              <w:t>-3</w:t>
            </w:r>
            <w:r>
              <w:rPr>
                <w:rFonts w:hint="eastAsia" w:ascii="黑体" w:hAnsi="黑体" w:eastAsia="黑体" w:cs="宋体"/>
                <w:b/>
                <w:bCs/>
                <w:kern w:val="0"/>
                <w:sz w:val="20"/>
                <w:szCs w:val="20"/>
              </w:rPr>
              <w:t>个项目</w:t>
            </w:r>
          </w:p>
        </w:tc>
        <w:tc>
          <w:tcPr>
            <w:tcW w:w="908"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619"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20.0</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55.0</w:t>
            </w:r>
          </w:p>
        </w:tc>
        <w:tc>
          <w:tcPr>
            <w:tcW w:w="307"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电池回收</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贵州开阳安达科技能源有限公司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安达科技5万吨/年新能源汽车废旧电池回收利用技改项目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电池回收</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贵州开瑞科技有限公司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2万吨/年磷酸铁锂电池回收项目（一期5000吨）</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2022.10-2023.12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电池回收</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20万吨（一期10万吨，二期10万吨）</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电池回收</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湖南坤元创富金属科技有限公司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年产5万吨废旧锂电池循环再生综合利用项目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电池回收</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贵州大龙汇成新材料有限公司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综合利用2万吨锂电池正极废极片及废料生产线</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2024-2030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电池回收</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贵州红星电子材料有限公司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扩能6000金属吨镍钴锰三元材料再生利用及5000吨碳酸锂生产项目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60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电池回收</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长虹鹏程新材料有限公司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年产7000金吨硫酸镍、硫酸锰项目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电池回收</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贵州中伟资源循环产业发展有限公司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年产8万金吨镍硫精炼硫酸镍项目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2022-2024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18.3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104</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130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9</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电池回收</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贵州中伟资源循环产业发展有限公司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形成年产10000吨电池级硫酸镍晶体、年产3000吨电池级硫酸钴晶体、年产3000吨电池级硫酸锰晶体、年产1000吨电池级碳酸锂晶体的生产能力</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2022-2024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4.58</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电池回收</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贵州唯特高新能源科技有限公司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1万吨/年磷铁废渣综合回收（极片回收）利用2条线</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2022.6-2023.12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毕节市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电池回收</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贵州锦尚新材料有限公司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年综合利用10万吨废旧锂电池资源循环环保再生项目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2022.8-2023.2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黔东南</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电池回收</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宏科新能源有限公司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 万吨三元电池回收处置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156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13</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电池回收</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锦宏新材料科技有限公司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年处理废旧锂离子电池及废料60000吨，实现年产电池级锂盐、钴盐、镍盐等合计31200吨，年产梯次电池7200吨，三元前驱体和正极材料240吨，以及实现铜、铝、石墨粉等的综合回收。</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2021.10-2022.9</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黔东南</w:t>
            </w:r>
          </w:p>
        </w:tc>
      </w:tr>
      <w:tr>
        <w:tblPrEx>
          <w:tblCellMar>
            <w:top w:w="0" w:type="dxa"/>
            <w:left w:w="108" w:type="dxa"/>
            <w:bottom w:w="0" w:type="dxa"/>
            <w:right w:w="108" w:type="dxa"/>
          </w:tblCellMar>
        </w:tblPrEx>
        <w:trPr>
          <w:trHeight w:val="280" w:hRule="atLeast"/>
        </w:trPr>
        <w:tc>
          <w:tcPr>
            <w:tcW w:w="808" w:type="pct"/>
            <w:gridSpan w:val="2"/>
            <w:tcBorders>
              <w:top w:val="single" w:color="auto" w:sz="4" w:space="0"/>
              <w:left w:val="single" w:color="auto" w:sz="4" w:space="0"/>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电池回收合计</w:t>
            </w:r>
          </w:p>
        </w:tc>
        <w:tc>
          <w:tcPr>
            <w:tcW w:w="908"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共</w:t>
            </w:r>
            <w:r>
              <w:rPr>
                <w:rFonts w:ascii="黑体" w:hAnsi="黑体" w:eastAsia="黑体" w:cs="宋体"/>
                <w:b/>
                <w:bCs/>
                <w:kern w:val="0"/>
                <w:sz w:val="20"/>
                <w:szCs w:val="20"/>
              </w:rPr>
              <w:t>13</w:t>
            </w:r>
            <w:r>
              <w:rPr>
                <w:rFonts w:hint="eastAsia" w:ascii="黑体" w:hAnsi="黑体" w:eastAsia="黑体" w:cs="宋体"/>
                <w:b/>
                <w:bCs/>
                <w:kern w:val="0"/>
                <w:sz w:val="20"/>
                <w:szCs w:val="20"/>
              </w:rPr>
              <w:t>个项目</w:t>
            </w:r>
          </w:p>
        </w:tc>
        <w:tc>
          <w:tcPr>
            <w:tcW w:w="908"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619"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209.5</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460.0</w:t>
            </w:r>
          </w:p>
        </w:tc>
        <w:tc>
          <w:tcPr>
            <w:tcW w:w="307"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铜箔</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铜箔</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中鼎高精铜箔制造有限公司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10000吨高性能电解铜箔建设项目（二期）</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280" w:hRule="atLeast"/>
        </w:trPr>
        <w:tc>
          <w:tcPr>
            <w:tcW w:w="808" w:type="pct"/>
            <w:gridSpan w:val="2"/>
            <w:tcBorders>
              <w:top w:val="single" w:color="auto" w:sz="4" w:space="0"/>
              <w:left w:val="single" w:color="auto" w:sz="4" w:space="0"/>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铜箔合计</w:t>
            </w:r>
          </w:p>
        </w:tc>
        <w:tc>
          <w:tcPr>
            <w:tcW w:w="908"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共2个项目</w:t>
            </w:r>
          </w:p>
        </w:tc>
        <w:tc>
          <w:tcPr>
            <w:tcW w:w="908"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619"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12.0</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88</w:t>
            </w:r>
            <w:r>
              <w:rPr>
                <w:rFonts w:ascii="黑体" w:hAnsi="黑体" w:eastAsia="黑体" w:cs="宋体"/>
                <w:b/>
                <w:bCs/>
                <w:kern w:val="0"/>
                <w:sz w:val="20"/>
                <w:szCs w:val="20"/>
              </w:rPr>
              <w:t>.0</w:t>
            </w:r>
          </w:p>
        </w:tc>
        <w:tc>
          <w:tcPr>
            <w:tcW w:w="307"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铝箔</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贵州贵铝新材料股份有限公司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年产3万吨超薄及动力电池铝箔项目</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2022.07-2023.12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7.39</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铝箔</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贵州莹聚恒新材料有限公司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 2 万吨阴极箔生产线及相关附属设施</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2023-2026</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铝箔</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双元铝业</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冷轧电池箔</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在产</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铝箔</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遵义</w:t>
            </w:r>
          </w:p>
        </w:tc>
      </w:tr>
      <w:tr>
        <w:tblPrEx>
          <w:tblCellMar>
            <w:top w:w="0" w:type="dxa"/>
            <w:left w:w="108" w:type="dxa"/>
            <w:bottom w:w="0" w:type="dxa"/>
            <w:right w:w="108" w:type="dxa"/>
          </w:tblCellMar>
        </w:tblPrEx>
        <w:trPr>
          <w:trHeight w:val="280" w:hRule="atLeast"/>
        </w:trPr>
        <w:tc>
          <w:tcPr>
            <w:tcW w:w="808" w:type="pct"/>
            <w:gridSpan w:val="2"/>
            <w:tcBorders>
              <w:top w:val="single" w:color="auto" w:sz="4" w:space="0"/>
              <w:left w:val="single" w:color="auto" w:sz="4" w:space="0"/>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铝箔合计</w:t>
            </w:r>
          </w:p>
        </w:tc>
        <w:tc>
          <w:tcPr>
            <w:tcW w:w="908"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共</w:t>
            </w:r>
            <w:r>
              <w:rPr>
                <w:rFonts w:ascii="黑体" w:hAnsi="黑体" w:eastAsia="黑体" w:cs="宋体"/>
                <w:b/>
                <w:bCs/>
                <w:kern w:val="0"/>
                <w:sz w:val="20"/>
                <w:szCs w:val="20"/>
              </w:rPr>
              <w:t>4</w:t>
            </w:r>
            <w:r>
              <w:rPr>
                <w:rFonts w:hint="eastAsia" w:ascii="黑体" w:hAnsi="黑体" w:eastAsia="黑体" w:cs="宋体"/>
                <w:b/>
                <w:bCs/>
                <w:kern w:val="0"/>
                <w:sz w:val="20"/>
                <w:szCs w:val="20"/>
              </w:rPr>
              <w:t>个项目</w:t>
            </w:r>
          </w:p>
        </w:tc>
        <w:tc>
          <w:tcPr>
            <w:tcW w:w="908"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619"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46.0</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92</w:t>
            </w:r>
            <w:r>
              <w:rPr>
                <w:rFonts w:ascii="黑体" w:hAnsi="黑体" w:eastAsia="黑体" w:cs="宋体"/>
                <w:b/>
                <w:bCs/>
                <w:kern w:val="0"/>
                <w:sz w:val="20"/>
                <w:szCs w:val="20"/>
              </w:rPr>
              <w:t>.0</w:t>
            </w:r>
          </w:p>
        </w:tc>
        <w:tc>
          <w:tcPr>
            <w:tcW w:w="307"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其他</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招商引资或自主研发扩产</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其他材料</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2022-2030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其他</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贵州一欣</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铝壳、盖板11.5亿套</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2022.4-2023.3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115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其他</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锂电设备</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4</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其他</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其他配套产业</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贵阳市</w:t>
            </w:r>
          </w:p>
        </w:tc>
      </w:tr>
      <w:tr>
        <w:tblPrEx>
          <w:tblCellMar>
            <w:top w:w="0" w:type="dxa"/>
            <w:left w:w="108" w:type="dxa"/>
            <w:bottom w:w="0" w:type="dxa"/>
            <w:right w:w="108" w:type="dxa"/>
          </w:tblCellMar>
        </w:tblPrEx>
        <w:trPr>
          <w:trHeight w:val="52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其他</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贵州鑫泰源开发投资有限公司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 设 年 产 10000吨/年的电池铝壳及相关附属设施</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3</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56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其他</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贵州石鑫玄武岩科技有限公司</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建设玄武岩纤维复合电池壳生产线</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2023-2025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六盘水</w:t>
            </w:r>
          </w:p>
        </w:tc>
      </w:tr>
      <w:tr>
        <w:tblPrEx>
          <w:tblCellMar>
            <w:top w:w="0" w:type="dxa"/>
            <w:left w:w="108" w:type="dxa"/>
            <w:bottom w:w="0" w:type="dxa"/>
            <w:right w:w="108" w:type="dxa"/>
          </w:tblCellMar>
        </w:tblPrEx>
        <w:trPr>
          <w:trHeight w:val="56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其他</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招商引资或自主研发扩产</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2023-2030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55</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60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铜仁</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其他</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75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遵义</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9</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其他</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招商引资或自主研发扩产</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其他配套材料</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12</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黔西南</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10</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其他</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0</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85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毕节市</w:t>
            </w:r>
          </w:p>
        </w:tc>
      </w:tr>
      <w:tr>
        <w:tblPrEx>
          <w:tblCellMar>
            <w:top w:w="0" w:type="dxa"/>
            <w:left w:w="108" w:type="dxa"/>
            <w:bottom w:w="0" w:type="dxa"/>
            <w:right w:w="108" w:type="dxa"/>
          </w:tblCellMar>
        </w:tblPrEx>
        <w:trPr>
          <w:trHeight w:val="28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11</w:t>
            </w:r>
          </w:p>
        </w:tc>
        <w:tc>
          <w:tcPr>
            <w:tcW w:w="50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其他</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90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　</w:t>
            </w:r>
          </w:p>
        </w:tc>
        <w:tc>
          <w:tcPr>
            <w:tcW w:w="48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18.5</w:t>
            </w:r>
          </w:p>
        </w:tc>
        <w:tc>
          <w:tcPr>
            <w:tcW w:w="3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kern w:val="0"/>
                <w:sz w:val="20"/>
                <w:szCs w:val="20"/>
              </w:rPr>
            </w:pPr>
            <w:r>
              <w:rPr>
                <w:rFonts w:hint="eastAsia" w:ascii="黑体" w:hAnsi="黑体" w:eastAsia="黑体" w:cs="宋体"/>
                <w:kern w:val="0"/>
                <w:sz w:val="20"/>
                <w:szCs w:val="20"/>
              </w:rPr>
              <w:t>黔东南</w:t>
            </w:r>
          </w:p>
        </w:tc>
      </w:tr>
      <w:tr>
        <w:tblPrEx>
          <w:tblCellMar>
            <w:top w:w="0" w:type="dxa"/>
            <w:left w:w="108" w:type="dxa"/>
            <w:bottom w:w="0" w:type="dxa"/>
            <w:right w:w="108" w:type="dxa"/>
          </w:tblCellMar>
        </w:tblPrEx>
        <w:trPr>
          <w:trHeight w:val="280" w:hRule="atLeast"/>
        </w:trPr>
        <w:tc>
          <w:tcPr>
            <w:tcW w:w="808" w:type="pct"/>
            <w:gridSpan w:val="2"/>
            <w:tcBorders>
              <w:top w:val="single" w:color="auto" w:sz="4" w:space="0"/>
              <w:left w:val="single" w:color="auto" w:sz="4" w:space="0"/>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其他合计</w:t>
            </w:r>
          </w:p>
        </w:tc>
        <w:tc>
          <w:tcPr>
            <w:tcW w:w="908"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共1</w:t>
            </w:r>
            <w:r>
              <w:rPr>
                <w:rFonts w:ascii="黑体" w:hAnsi="黑体" w:eastAsia="黑体" w:cs="宋体"/>
                <w:b/>
                <w:bCs/>
                <w:kern w:val="0"/>
                <w:sz w:val="20"/>
                <w:szCs w:val="20"/>
              </w:rPr>
              <w:t>1</w:t>
            </w:r>
            <w:r>
              <w:rPr>
                <w:rFonts w:hint="eastAsia" w:ascii="黑体" w:hAnsi="黑体" w:eastAsia="黑体" w:cs="宋体"/>
                <w:b/>
                <w:bCs/>
                <w:kern w:val="0"/>
                <w:sz w:val="20"/>
                <w:szCs w:val="20"/>
              </w:rPr>
              <w:t>个项目</w:t>
            </w:r>
          </w:p>
        </w:tc>
        <w:tc>
          <w:tcPr>
            <w:tcW w:w="908"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619"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123.0</w:t>
            </w:r>
          </w:p>
        </w:tc>
        <w:tc>
          <w:tcPr>
            <w:tcW w:w="483"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482.5</w:t>
            </w:r>
          </w:p>
        </w:tc>
        <w:tc>
          <w:tcPr>
            <w:tcW w:w="307" w:type="pct"/>
            <w:tcBorders>
              <w:top w:val="nil"/>
              <w:left w:val="nil"/>
              <w:bottom w:val="single" w:color="auto" w:sz="4" w:space="0"/>
              <w:right w:val="single" w:color="auto" w:sz="4" w:space="0"/>
            </w:tcBorders>
            <w:shd w:val="clear" w:color="000000" w:fill="E2EFDA"/>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r>
      <w:tr>
        <w:tblPrEx>
          <w:tblCellMar>
            <w:top w:w="0" w:type="dxa"/>
            <w:left w:w="108" w:type="dxa"/>
            <w:bottom w:w="0" w:type="dxa"/>
            <w:right w:w="108" w:type="dxa"/>
          </w:tblCellMar>
        </w:tblPrEx>
        <w:trPr>
          <w:trHeight w:val="280" w:hRule="atLeast"/>
        </w:trPr>
        <w:tc>
          <w:tcPr>
            <w:tcW w:w="808" w:type="pct"/>
            <w:gridSpan w:val="2"/>
            <w:tcBorders>
              <w:top w:val="single" w:color="auto" w:sz="4" w:space="0"/>
              <w:left w:val="single" w:color="auto" w:sz="4" w:space="0"/>
              <w:bottom w:val="single" w:color="auto" w:sz="4" w:space="0"/>
              <w:right w:val="single" w:color="auto" w:sz="4" w:space="0"/>
            </w:tcBorders>
            <w:shd w:val="clear" w:color="000000" w:fill="5B9BD5"/>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总计</w:t>
            </w:r>
          </w:p>
        </w:tc>
        <w:tc>
          <w:tcPr>
            <w:tcW w:w="908" w:type="pct"/>
            <w:tcBorders>
              <w:top w:val="nil"/>
              <w:left w:val="nil"/>
              <w:bottom w:val="single" w:color="auto" w:sz="4" w:space="0"/>
              <w:right w:val="single" w:color="auto" w:sz="4" w:space="0"/>
            </w:tcBorders>
            <w:shd w:val="clear" w:color="000000" w:fill="5B9BD5"/>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共1</w:t>
            </w:r>
            <w:r>
              <w:rPr>
                <w:rFonts w:ascii="黑体" w:hAnsi="黑体" w:eastAsia="黑体" w:cs="宋体"/>
                <w:b/>
                <w:bCs/>
                <w:kern w:val="0"/>
                <w:sz w:val="20"/>
                <w:szCs w:val="20"/>
              </w:rPr>
              <w:t>95</w:t>
            </w:r>
            <w:r>
              <w:rPr>
                <w:rFonts w:hint="eastAsia" w:ascii="黑体" w:hAnsi="黑体" w:eastAsia="黑体" w:cs="宋体"/>
                <w:b/>
                <w:bCs/>
                <w:kern w:val="0"/>
                <w:sz w:val="20"/>
                <w:szCs w:val="20"/>
              </w:rPr>
              <w:t>个项目</w:t>
            </w:r>
          </w:p>
        </w:tc>
        <w:tc>
          <w:tcPr>
            <w:tcW w:w="908" w:type="pct"/>
            <w:tcBorders>
              <w:top w:val="nil"/>
              <w:left w:val="nil"/>
              <w:bottom w:val="single" w:color="auto" w:sz="4" w:space="0"/>
              <w:right w:val="single" w:color="auto" w:sz="4" w:space="0"/>
            </w:tcBorders>
            <w:shd w:val="clear" w:color="000000" w:fill="5B9BD5"/>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619" w:type="pct"/>
            <w:tcBorders>
              <w:top w:val="nil"/>
              <w:left w:val="nil"/>
              <w:bottom w:val="single" w:color="auto" w:sz="4" w:space="0"/>
              <w:right w:val="single" w:color="auto" w:sz="4" w:space="0"/>
            </w:tcBorders>
            <w:shd w:val="clear" w:color="000000" w:fill="5B9BD5"/>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483" w:type="pct"/>
            <w:tcBorders>
              <w:top w:val="nil"/>
              <w:left w:val="nil"/>
              <w:bottom w:val="single" w:color="auto" w:sz="4" w:space="0"/>
              <w:right w:val="single" w:color="auto" w:sz="4" w:space="0"/>
            </w:tcBorders>
            <w:shd w:val="clear" w:color="000000" w:fill="5B9BD5"/>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c>
          <w:tcPr>
            <w:tcW w:w="483" w:type="pct"/>
            <w:tcBorders>
              <w:top w:val="nil"/>
              <w:left w:val="nil"/>
              <w:bottom w:val="single" w:color="auto" w:sz="4" w:space="0"/>
              <w:right w:val="single" w:color="auto" w:sz="4" w:space="0"/>
            </w:tcBorders>
            <w:shd w:val="clear" w:color="000000" w:fill="5B9BD5"/>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xml:space="preserve">5000 </w:t>
            </w:r>
          </w:p>
        </w:tc>
        <w:tc>
          <w:tcPr>
            <w:tcW w:w="483" w:type="pct"/>
            <w:tcBorders>
              <w:top w:val="nil"/>
              <w:left w:val="nil"/>
              <w:bottom w:val="single" w:color="auto" w:sz="4" w:space="0"/>
              <w:right w:val="single" w:color="auto" w:sz="4" w:space="0"/>
            </w:tcBorders>
            <w:shd w:val="clear" w:color="000000" w:fill="5B9BD5"/>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xml:space="preserve">10000 </w:t>
            </w:r>
          </w:p>
        </w:tc>
        <w:tc>
          <w:tcPr>
            <w:tcW w:w="307" w:type="pct"/>
            <w:tcBorders>
              <w:top w:val="nil"/>
              <w:left w:val="nil"/>
              <w:bottom w:val="single" w:color="auto" w:sz="4" w:space="0"/>
              <w:right w:val="single" w:color="auto" w:sz="4" w:space="0"/>
            </w:tcBorders>
            <w:shd w:val="clear" w:color="000000" w:fill="5B9BD5"/>
            <w:vAlign w:val="center"/>
          </w:tcPr>
          <w:p>
            <w:pPr>
              <w:widowControl/>
              <w:spacing w:line="240" w:lineRule="auto"/>
              <w:ind w:firstLine="0" w:firstLineChars="0"/>
              <w:jc w:val="center"/>
              <w:rPr>
                <w:rFonts w:ascii="黑体" w:hAnsi="黑体" w:eastAsia="黑体" w:cs="宋体"/>
                <w:b/>
                <w:bCs/>
                <w:kern w:val="0"/>
                <w:sz w:val="20"/>
                <w:szCs w:val="20"/>
              </w:rPr>
            </w:pPr>
            <w:r>
              <w:rPr>
                <w:rFonts w:hint="eastAsia" w:ascii="黑体" w:hAnsi="黑体" w:eastAsia="黑体" w:cs="宋体"/>
                <w:b/>
                <w:bCs/>
                <w:kern w:val="0"/>
                <w:sz w:val="20"/>
                <w:szCs w:val="20"/>
              </w:rPr>
              <w:t>　</w:t>
            </w:r>
          </w:p>
        </w:tc>
      </w:tr>
    </w:tbl>
    <w:p>
      <w:pPr>
        <w:tabs>
          <w:tab w:val="left" w:pos="3206"/>
        </w:tabs>
        <w:ind w:firstLine="0" w:firstLineChars="0"/>
      </w:pPr>
      <w:r>
        <w:tab/>
      </w:r>
    </w:p>
    <w:sectPr>
      <w:pgSz w:w="16838" w:h="11906" w:orient="landscape"/>
      <w:pgMar w:top="1531" w:right="1985" w:bottom="1531" w:left="1418" w:header="851" w:footer="992" w:gutter="0"/>
      <w:pgNumType w:fmt="numberInDash"/>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Light">
    <w:altName w:val="汉仪中宋简"/>
    <w:panose1 w:val="02010600030101010101"/>
    <w:charset w:val="86"/>
    <w:family w:val="auto"/>
    <w:pitch w:val="default"/>
    <w:sig w:usb0="00000000" w:usb1="00000000" w:usb2="00000016" w:usb3="00000000" w:csb0="0004000F" w:csb1="00000000"/>
  </w:font>
  <w:font w:name="等线">
    <w:altName w:val="汉仪中宋简"/>
    <w:panose1 w:val="02010600030101010101"/>
    <w:charset w:val="86"/>
    <w:family w:val="auto"/>
    <w:pitch w:val="default"/>
    <w:sig w:usb0="00000000" w:usb1="00000000" w:usb2="00000016" w:usb3="00000000" w:csb0="0004000F" w:csb1="00000000"/>
  </w:font>
  <w:font w:name="仿宋">
    <w:altName w:val="方正仿宋_GBK"/>
    <w:panose1 w:val="02010609060101010101"/>
    <w:charset w:val="86"/>
    <w:family w:val="modern"/>
    <w:pitch w:val="default"/>
    <w:sig w:usb0="00000000" w:usb1="00000000" w:usb2="00000016"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等线">
    <w:altName w:val="Quicksand Light"/>
    <w:panose1 w:val="00000000000000000000"/>
    <w:charset w:val="00"/>
    <w:family w:val="auto"/>
    <w:pitch w:val="default"/>
    <w:sig w:usb0="00000000" w:usb1="00000000" w:usb2="00000000" w:usb3="00000000" w:csb0="00000000" w:csb1="00000000"/>
  </w:font>
  <w:font w:name="Quicksand Light">
    <w:panose1 w:val="00000400000000000000"/>
    <w:charset w:val="00"/>
    <w:family w:val="auto"/>
    <w:pitch w:val="default"/>
    <w:sig w:usb0="2000000F" w:usb1="00000001" w:usb2="00000000" w:usb3="00000000" w:csb0="20000193" w:csb1="00000000"/>
  </w:font>
  <w:font w:name="NanumGothic">
    <w:panose1 w:val="020D0604000000000000"/>
    <w:charset w:val="81"/>
    <w:family w:val="auto"/>
    <w:pitch w:val="default"/>
    <w:sig w:usb0="900002A7" w:usb1="29D7FCFB" w:usb2="00000010" w:usb3="00000000" w:csb0="00080001" w:csb1="00000000"/>
  </w:font>
  <w:font w:name="等线 Light">
    <w:altName w:val="Quicksand Ligh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p>
  <w:p>
    <w:pPr>
      <w:pStyle w:val="14"/>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6222017"/>
    </w:sdtPr>
    <w:sdtContent>
      <w:p>
        <w:pPr>
          <w:pStyle w:val="14"/>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3224382"/>
    </w:sdtPr>
    <w:sdtContent>
      <w:p>
        <w:pPr>
          <w:pStyle w:val="14"/>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240" w:lineRule="auto"/>
        <w:ind w:firstLine="560"/>
      </w:pPr>
      <w:r>
        <w:separator/>
      </w:r>
    </w:p>
  </w:footnote>
  <w:footnote w:type="continuationSeparator" w:id="3">
    <w:p>
      <w:pPr>
        <w:spacing w:line="240" w:lineRule="auto"/>
        <w:ind w:firstLine="560"/>
      </w:pPr>
      <w:r>
        <w:continuationSeparator/>
      </w:r>
    </w:p>
  </w:footnote>
  <w:footnote w:id="0">
    <w:p>
      <w:pPr>
        <w:pStyle w:val="17"/>
        <w:ind w:firstLine="360"/>
        <w:rPr>
          <w:rFonts w:ascii="宋体" w:hAnsi="宋体" w:eastAsia="宋体" w:cs="宋体"/>
        </w:rPr>
      </w:pPr>
      <w:r>
        <w:rPr>
          <w:rStyle w:val="26"/>
          <w:rFonts w:hint="eastAsia" w:ascii="宋体" w:hAnsi="宋体" w:eastAsia="宋体" w:cs="宋体"/>
        </w:rPr>
        <w:footnoteRef/>
      </w:r>
      <w:r>
        <w:rPr>
          <w:rFonts w:hint="eastAsia" w:ascii="宋体" w:hAnsi="宋体" w:eastAsia="宋体" w:cs="宋体"/>
        </w:rPr>
        <w:t xml:space="preserve"> </w:t>
      </w:r>
      <w:r>
        <w:rPr>
          <w:rFonts w:hint="eastAsia" w:ascii="宋体" w:hAnsi="宋体" w:eastAsia="宋体" w:cs="宋体"/>
          <w:sz w:val="16"/>
          <w:szCs w:val="16"/>
        </w:rPr>
        <w:t>数据来源：伊维智库-《中国锂离子电池行业发展白皮书（2022年）》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rPr>
        <w:rFonts w:hint="eastAsia"/>
      </w:rPr>
      <w:t>新能源电池及材料研发生产基地建设规划（2022-2030年）</w:t>
    </w:r>
  </w:p>
  <w:p>
    <w:pPr>
      <w:ind w:firstLine="0" w:firstLineChars="0"/>
      <w:jc w:val="cent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810E43"/>
    <w:multiLevelType w:val="multilevel"/>
    <w:tmpl w:val="6E810E43"/>
    <w:lvl w:ilvl="0" w:tentative="0">
      <w:start w:val="1"/>
      <w:numFmt w:val="bullet"/>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true"/>
  <w:bordersDoNotSurroundHeader w:val="true"/>
  <w:bordersDoNotSurroundFooter w:val="true"/>
  <w:documentProtection w:enforcement="0"/>
  <w:defaultTabStop w:val="420"/>
  <w:drawingGridVerticalSpacing w:val="156"/>
  <w:noPunctuationKerning w:val="true"/>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MwOGY2Y2VmZWVjYzAwMGFiNWVmNjA2MjA2MGMwMDUifQ=="/>
  </w:docVars>
  <w:rsids>
    <w:rsidRoot w:val="0003363B"/>
    <w:rsid w:val="00001CE5"/>
    <w:rsid w:val="00001CF2"/>
    <w:rsid w:val="00001F97"/>
    <w:rsid w:val="0000397F"/>
    <w:rsid w:val="000062D4"/>
    <w:rsid w:val="000070D2"/>
    <w:rsid w:val="000077DD"/>
    <w:rsid w:val="000078FF"/>
    <w:rsid w:val="00010B73"/>
    <w:rsid w:val="000113A2"/>
    <w:rsid w:val="0001608A"/>
    <w:rsid w:val="00020205"/>
    <w:rsid w:val="0002031B"/>
    <w:rsid w:val="00022BE9"/>
    <w:rsid w:val="0002475C"/>
    <w:rsid w:val="000310CB"/>
    <w:rsid w:val="00031331"/>
    <w:rsid w:val="000324CC"/>
    <w:rsid w:val="00032EC3"/>
    <w:rsid w:val="0003363B"/>
    <w:rsid w:val="00034B10"/>
    <w:rsid w:val="00034BF0"/>
    <w:rsid w:val="00036708"/>
    <w:rsid w:val="000376CF"/>
    <w:rsid w:val="00037D1E"/>
    <w:rsid w:val="000400B7"/>
    <w:rsid w:val="000408F1"/>
    <w:rsid w:val="00044827"/>
    <w:rsid w:val="0004518D"/>
    <w:rsid w:val="000452FE"/>
    <w:rsid w:val="000472A6"/>
    <w:rsid w:val="00055C5E"/>
    <w:rsid w:val="00056476"/>
    <w:rsid w:val="0005690D"/>
    <w:rsid w:val="000601B6"/>
    <w:rsid w:val="0006468A"/>
    <w:rsid w:val="00066AF8"/>
    <w:rsid w:val="000677B3"/>
    <w:rsid w:val="00077F36"/>
    <w:rsid w:val="00086FB1"/>
    <w:rsid w:val="00086FE9"/>
    <w:rsid w:val="00087417"/>
    <w:rsid w:val="000908E8"/>
    <w:rsid w:val="0009364C"/>
    <w:rsid w:val="00093F8A"/>
    <w:rsid w:val="00094FB7"/>
    <w:rsid w:val="0009599C"/>
    <w:rsid w:val="00095E33"/>
    <w:rsid w:val="000A1352"/>
    <w:rsid w:val="000A3712"/>
    <w:rsid w:val="000A613A"/>
    <w:rsid w:val="000B05CD"/>
    <w:rsid w:val="000B3A0D"/>
    <w:rsid w:val="000B5DB1"/>
    <w:rsid w:val="000B65A2"/>
    <w:rsid w:val="000C0008"/>
    <w:rsid w:val="000C1277"/>
    <w:rsid w:val="000C3CD1"/>
    <w:rsid w:val="000C65FE"/>
    <w:rsid w:val="000C6DC6"/>
    <w:rsid w:val="000C6DD9"/>
    <w:rsid w:val="000C7D38"/>
    <w:rsid w:val="000C7EBF"/>
    <w:rsid w:val="000D47C3"/>
    <w:rsid w:val="000D79C3"/>
    <w:rsid w:val="000E092D"/>
    <w:rsid w:val="000E460B"/>
    <w:rsid w:val="000E6E75"/>
    <w:rsid w:val="000F1249"/>
    <w:rsid w:val="000F4B8F"/>
    <w:rsid w:val="000F6427"/>
    <w:rsid w:val="000F6A07"/>
    <w:rsid w:val="00101DE1"/>
    <w:rsid w:val="0010274F"/>
    <w:rsid w:val="00102BF7"/>
    <w:rsid w:val="00103A63"/>
    <w:rsid w:val="00107457"/>
    <w:rsid w:val="00107E07"/>
    <w:rsid w:val="001107A8"/>
    <w:rsid w:val="0011460D"/>
    <w:rsid w:val="00114690"/>
    <w:rsid w:val="00122B98"/>
    <w:rsid w:val="00124ADB"/>
    <w:rsid w:val="00125352"/>
    <w:rsid w:val="00127706"/>
    <w:rsid w:val="00131000"/>
    <w:rsid w:val="0013130A"/>
    <w:rsid w:val="00133032"/>
    <w:rsid w:val="001333FB"/>
    <w:rsid w:val="001355DF"/>
    <w:rsid w:val="00136610"/>
    <w:rsid w:val="0013694E"/>
    <w:rsid w:val="00137DF0"/>
    <w:rsid w:val="0014021A"/>
    <w:rsid w:val="0014104F"/>
    <w:rsid w:val="00142ABB"/>
    <w:rsid w:val="00146B3B"/>
    <w:rsid w:val="00147C91"/>
    <w:rsid w:val="0015334E"/>
    <w:rsid w:val="00153C6B"/>
    <w:rsid w:val="001616D6"/>
    <w:rsid w:val="00166E7D"/>
    <w:rsid w:val="00170178"/>
    <w:rsid w:val="00171025"/>
    <w:rsid w:val="0018090D"/>
    <w:rsid w:val="00183012"/>
    <w:rsid w:val="0018307A"/>
    <w:rsid w:val="00184EE6"/>
    <w:rsid w:val="0018573A"/>
    <w:rsid w:val="00187370"/>
    <w:rsid w:val="001916CC"/>
    <w:rsid w:val="00194049"/>
    <w:rsid w:val="00196ECE"/>
    <w:rsid w:val="001A18AE"/>
    <w:rsid w:val="001A34CE"/>
    <w:rsid w:val="001A43A9"/>
    <w:rsid w:val="001A60F6"/>
    <w:rsid w:val="001B0E42"/>
    <w:rsid w:val="001B19EB"/>
    <w:rsid w:val="001B1ED4"/>
    <w:rsid w:val="001B2617"/>
    <w:rsid w:val="001B550A"/>
    <w:rsid w:val="001C00B2"/>
    <w:rsid w:val="001C3B93"/>
    <w:rsid w:val="001C4C74"/>
    <w:rsid w:val="001C52C9"/>
    <w:rsid w:val="001C585E"/>
    <w:rsid w:val="001C63E8"/>
    <w:rsid w:val="001C7DC7"/>
    <w:rsid w:val="001D29E5"/>
    <w:rsid w:val="001D2C87"/>
    <w:rsid w:val="001D2F85"/>
    <w:rsid w:val="001D4E95"/>
    <w:rsid w:val="001D591E"/>
    <w:rsid w:val="001D7615"/>
    <w:rsid w:val="001E0CC4"/>
    <w:rsid w:val="001E2802"/>
    <w:rsid w:val="001E2C5E"/>
    <w:rsid w:val="001E3968"/>
    <w:rsid w:val="001E3DFE"/>
    <w:rsid w:val="001E57C6"/>
    <w:rsid w:val="001E6795"/>
    <w:rsid w:val="001F0A8E"/>
    <w:rsid w:val="001F4741"/>
    <w:rsid w:val="001F4CFF"/>
    <w:rsid w:val="001F51C8"/>
    <w:rsid w:val="001F73A6"/>
    <w:rsid w:val="00200629"/>
    <w:rsid w:val="00206749"/>
    <w:rsid w:val="0021495A"/>
    <w:rsid w:val="00216CF5"/>
    <w:rsid w:val="00221934"/>
    <w:rsid w:val="002253BD"/>
    <w:rsid w:val="00226CF7"/>
    <w:rsid w:val="00230EC0"/>
    <w:rsid w:val="0023223B"/>
    <w:rsid w:val="002357D0"/>
    <w:rsid w:val="0023634C"/>
    <w:rsid w:val="0024663E"/>
    <w:rsid w:val="002507D7"/>
    <w:rsid w:val="002512F4"/>
    <w:rsid w:val="00252E76"/>
    <w:rsid w:val="002540AD"/>
    <w:rsid w:val="002563A2"/>
    <w:rsid w:val="0026239A"/>
    <w:rsid w:val="00263EEF"/>
    <w:rsid w:val="00264FFB"/>
    <w:rsid w:val="002701B7"/>
    <w:rsid w:val="0027075B"/>
    <w:rsid w:val="00277EF9"/>
    <w:rsid w:val="00280DCA"/>
    <w:rsid w:val="00286245"/>
    <w:rsid w:val="0029028F"/>
    <w:rsid w:val="00290E1B"/>
    <w:rsid w:val="00291704"/>
    <w:rsid w:val="002954BC"/>
    <w:rsid w:val="00295DC4"/>
    <w:rsid w:val="002A49B9"/>
    <w:rsid w:val="002A553C"/>
    <w:rsid w:val="002A743B"/>
    <w:rsid w:val="002B06F7"/>
    <w:rsid w:val="002B18C8"/>
    <w:rsid w:val="002B4C92"/>
    <w:rsid w:val="002C0006"/>
    <w:rsid w:val="002C0DC5"/>
    <w:rsid w:val="002C1C5D"/>
    <w:rsid w:val="002C235A"/>
    <w:rsid w:val="002D0215"/>
    <w:rsid w:val="002D0E7D"/>
    <w:rsid w:val="002D1AB6"/>
    <w:rsid w:val="002D5D1E"/>
    <w:rsid w:val="002E3360"/>
    <w:rsid w:val="002E5813"/>
    <w:rsid w:val="002E76C9"/>
    <w:rsid w:val="002F06D4"/>
    <w:rsid w:val="002F1350"/>
    <w:rsid w:val="002F4DB8"/>
    <w:rsid w:val="00300BC0"/>
    <w:rsid w:val="00303780"/>
    <w:rsid w:val="00310F74"/>
    <w:rsid w:val="0031169D"/>
    <w:rsid w:val="003127C7"/>
    <w:rsid w:val="003139A8"/>
    <w:rsid w:val="00314545"/>
    <w:rsid w:val="0031665F"/>
    <w:rsid w:val="003252D7"/>
    <w:rsid w:val="00332F63"/>
    <w:rsid w:val="0033300D"/>
    <w:rsid w:val="00333766"/>
    <w:rsid w:val="00335BE1"/>
    <w:rsid w:val="0034231D"/>
    <w:rsid w:val="00346E35"/>
    <w:rsid w:val="00347DA3"/>
    <w:rsid w:val="00351D5E"/>
    <w:rsid w:val="003528BA"/>
    <w:rsid w:val="00353B26"/>
    <w:rsid w:val="0035776D"/>
    <w:rsid w:val="003606D9"/>
    <w:rsid w:val="00371350"/>
    <w:rsid w:val="00372A5C"/>
    <w:rsid w:val="00374A35"/>
    <w:rsid w:val="00387A25"/>
    <w:rsid w:val="003927E8"/>
    <w:rsid w:val="00395A3A"/>
    <w:rsid w:val="00396BC9"/>
    <w:rsid w:val="00396F36"/>
    <w:rsid w:val="003A0D58"/>
    <w:rsid w:val="003A46BC"/>
    <w:rsid w:val="003A5B55"/>
    <w:rsid w:val="003A65A3"/>
    <w:rsid w:val="003B0274"/>
    <w:rsid w:val="003B09D0"/>
    <w:rsid w:val="003B467D"/>
    <w:rsid w:val="003B7EFF"/>
    <w:rsid w:val="003C186B"/>
    <w:rsid w:val="003C3CE1"/>
    <w:rsid w:val="003C5072"/>
    <w:rsid w:val="003C5286"/>
    <w:rsid w:val="003C712C"/>
    <w:rsid w:val="003D1EF3"/>
    <w:rsid w:val="003D36B6"/>
    <w:rsid w:val="003D6AD1"/>
    <w:rsid w:val="003E3648"/>
    <w:rsid w:val="003E5358"/>
    <w:rsid w:val="003E682F"/>
    <w:rsid w:val="003E6A79"/>
    <w:rsid w:val="003F2732"/>
    <w:rsid w:val="003F753E"/>
    <w:rsid w:val="004005E2"/>
    <w:rsid w:val="00401746"/>
    <w:rsid w:val="0040249B"/>
    <w:rsid w:val="00405E97"/>
    <w:rsid w:val="004111FD"/>
    <w:rsid w:val="004129DF"/>
    <w:rsid w:val="00420738"/>
    <w:rsid w:val="0042244D"/>
    <w:rsid w:val="00431D75"/>
    <w:rsid w:val="00432E84"/>
    <w:rsid w:val="00433F20"/>
    <w:rsid w:val="0043401E"/>
    <w:rsid w:val="004414F7"/>
    <w:rsid w:val="004419F8"/>
    <w:rsid w:val="00441BD1"/>
    <w:rsid w:val="004425BC"/>
    <w:rsid w:val="0044456D"/>
    <w:rsid w:val="00446095"/>
    <w:rsid w:val="004466BA"/>
    <w:rsid w:val="00447594"/>
    <w:rsid w:val="00447625"/>
    <w:rsid w:val="00455547"/>
    <w:rsid w:val="00455BB9"/>
    <w:rsid w:val="00461B27"/>
    <w:rsid w:val="00462C6B"/>
    <w:rsid w:val="004634FE"/>
    <w:rsid w:val="00463837"/>
    <w:rsid w:val="00465BAD"/>
    <w:rsid w:val="0046727D"/>
    <w:rsid w:val="00467ACF"/>
    <w:rsid w:val="004732BE"/>
    <w:rsid w:val="00474408"/>
    <w:rsid w:val="00477022"/>
    <w:rsid w:val="004832B1"/>
    <w:rsid w:val="00484ECE"/>
    <w:rsid w:val="00485AAD"/>
    <w:rsid w:val="00486397"/>
    <w:rsid w:val="00491118"/>
    <w:rsid w:val="0049425C"/>
    <w:rsid w:val="00494BBE"/>
    <w:rsid w:val="0049539A"/>
    <w:rsid w:val="0049611B"/>
    <w:rsid w:val="004962FA"/>
    <w:rsid w:val="004A1B91"/>
    <w:rsid w:val="004A2C51"/>
    <w:rsid w:val="004A45AE"/>
    <w:rsid w:val="004B2229"/>
    <w:rsid w:val="004B3AEE"/>
    <w:rsid w:val="004B5086"/>
    <w:rsid w:val="004B7698"/>
    <w:rsid w:val="004C1026"/>
    <w:rsid w:val="004C1E19"/>
    <w:rsid w:val="004C20BF"/>
    <w:rsid w:val="004C61D3"/>
    <w:rsid w:val="004C714D"/>
    <w:rsid w:val="004D30D9"/>
    <w:rsid w:val="004D4CEB"/>
    <w:rsid w:val="004D4D09"/>
    <w:rsid w:val="004E3646"/>
    <w:rsid w:val="004E3886"/>
    <w:rsid w:val="004E45AD"/>
    <w:rsid w:val="004E5C8B"/>
    <w:rsid w:val="004F04B7"/>
    <w:rsid w:val="004F23A0"/>
    <w:rsid w:val="004F2532"/>
    <w:rsid w:val="004F3B0C"/>
    <w:rsid w:val="004F4287"/>
    <w:rsid w:val="004F4C5D"/>
    <w:rsid w:val="004F6074"/>
    <w:rsid w:val="004F640F"/>
    <w:rsid w:val="005007F8"/>
    <w:rsid w:val="0050720C"/>
    <w:rsid w:val="00511499"/>
    <w:rsid w:val="0051156B"/>
    <w:rsid w:val="005119EE"/>
    <w:rsid w:val="00511C50"/>
    <w:rsid w:val="005148DD"/>
    <w:rsid w:val="00514917"/>
    <w:rsid w:val="00514D6B"/>
    <w:rsid w:val="00514F3B"/>
    <w:rsid w:val="00516B25"/>
    <w:rsid w:val="005235DF"/>
    <w:rsid w:val="005245EB"/>
    <w:rsid w:val="0053080E"/>
    <w:rsid w:val="00533C27"/>
    <w:rsid w:val="00535685"/>
    <w:rsid w:val="005359D8"/>
    <w:rsid w:val="00536277"/>
    <w:rsid w:val="00536B2A"/>
    <w:rsid w:val="00541861"/>
    <w:rsid w:val="00543CAF"/>
    <w:rsid w:val="00547964"/>
    <w:rsid w:val="00550642"/>
    <w:rsid w:val="00552C36"/>
    <w:rsid w:val="00554443"/>
    <w:rsid w:val="00554A66"/>
    <w:rsid w:val="00556E95"/>
    <w:rsid w:val="005577C7"/>
    <w:rsid w:val="00557C3E"/>
    <w:rsid w:val="00560706"/>
    <w:rsid w:val="00561DC4"/>
    <w:rsid w:val="0056251C"/>
    <w:rsid w:val="00562605"/>
    <w:rsid w:val="005638DC"/>
    <w:rsid w:val="0056580D"/>
    <w:rsid w:val="00565AFF"/>
    <w:rsid w:val="005678B9"/>
    <w:rsid w:val="00567BBD"/>
    <w:rsid w:val="00567D84"/>
    <w:rsid w:val="0057065F"/>
    <w:rsid w:val="00571EA0"/>
    <w:rsid w:val="00571F10"/>
    <w:rsid w:val="00572A25"/>
    <w:rsid w:val="005734A1"/>
    <w:rsid w:val="00574BA3"/>
    <w:rsid w:val="00574BCB"/>
    <w:rsid w:val="005750D1"/>
    <w:rsid w:val="0057610F"/>
    <w:rsid w:val="0058185E"/>
    <w:rsid w:val="00582862"/>
    <w:rsid w:val="00582B32"/>
    <w:rsid w:val="00582BD8"/>
    <w:rsid w:val="005847C1"/>
    <w:rsid w:val="0058570E"/>
    <w:rsid w:val="0058713A"/>
    <w:rsid w:val="00590809"/>
    <w:rsid w:val="00593318"/>
    <w:rsid w:val="0059342D"/>
    <w:rsid w:val="0059433E"/>
    <w:rsid w:val="00597615"/>
    <w:rsid w:val="005A2937"/>
    <w:rsid w:val="005A3374"/>
    <w:rsid w:val="005A6B91"/>
    <w:rsid w:val="005A7E91"/>
    <w:rsid w:val="005B0A52"/>
    <w:rsid w:val="005B0ABD"/>
    <w:rsid w:val="005B71B7"/>
    <w:rsid w:val="005B73D6"/>
    <w:rsid w:val="005D0E84"/>
    <w:rsid w:val="005D1AC8"/>
    <w:rsid w:val="005D589B"/>
    <w:rsid w:val="005D686B"/>
    <w:rsid w:val="005E14E1"/>
    <w:rsid w:val="005E4A03"/>
    <w:rsid w:val="005E5CC9"/>
    <w:rsid w:val="005E63D3"/>
    <w:rsid w:val="005F03FA"/>
    <w:rsid w:val="005F1298"/>
    <w:rsid w:val="005F1F0E"/>
    <w:rsid w:val="005F25AB"/>
    <w:rsid w:val="005F7F17"/>
    <w:rsid w:val="0060083F"/>
    <w:rsid w:val="00602480"/>
    <w:rsid w:val="00602A2F"/>
    <w:rsid w:val="0060407C"/>
    <w:rsid w:val="00606170"/>
    <w:rsid w:val="00606C38"/>
    <w:rsid w:val="006073F0"/>
    <w:rsid w:val="00611C1C"/>
    <w:rsid w:val="00613089"/>
    <w:rsid w:val="00613FBC"/>
    <w:rsid w:val="00615540"/>
    <w:rsid w:val="00625ECD"/>
    <w:rsid w:val="00626612"/>
    <w:rsid w:val="00626D2E"/>
    <w:rsid w:val="006278F3"/>
    <w:rsid w:val="00631E3D"/>
    <w:rsid w:val="00633F3F"/>
    <w:rsid w:val="00637BD2"/>
    <w:rsid w:val="00641B5D"/>
    <w:rsid w:val="00642E47"/>
    <w:rsid w:val="00651964"/>
    <w:rsid w:val="00654E3B"/>
    <w:rsid w:val="006569B6"/>
    <w:rsid w:val="00660760"/>
    <w:rsid w:val="00664D47"/>
    <w:rsid w:val="00665F07"/>
    <w:rsid w:val="0067338D"/>
    <w:rsid w:val="00674283"/>
    <w:rsid w:val="00676539"/>
    <w:rsid w:val="00677633"/>
    <w:rsid w:val="006816F5"/>
    <w:rsid w:val="0068218E"/>
    <w:rsid w:val="006855F4"/>
    <w:rsid w:val="00690F39"/>
    <w:rsid w:val="00691AE4"/>
    <w:rsid w:val="00693DEF"/>
    <w:rsid w:val="00694C0D"/>
    <w:rsid w:val="00695777"/>
    <w:rsid w:val="00696B45"/>
    <w:rsid w:val="00697D36"/>
    <w:rsid w:val="00697F20"/>
    <w:rsid w:val="006A2399"/>
    <w:rsid w:val="006A284C"/>
    <w:rsid w:val="006A28DC"/>
    <w:rsid w:val="006A4142"/>
    <w:rsid w:val="006A4C54"/>
    <w:rsid w:val="006A7827"/>
    <w:rsid w:val="006B079B"/>
    <w:rsid w:val="006B4EA8"/>
    <w:rsid w:val="006B7B4F"/>
    <w:rsid w:val="006C01F5"/>
    <w:rsid w:val="006C2F0F"/>
    <w:rsid w:val="006C48B1"/>
    <w:rsid w:val="006C5BF1"/>
    <w:rsid w:val="006C5D0F"/>
    <w:rsid w:val="006C6A22"/>
    <w:rsid w:val="006C7B86"/>
    <w:rsid w:val="006D0797"/>
    <w:rsid w:val="006D1C9F"/>
    <w:rsid w:val="006E00F9"/>
    <w:rsid w:val="006E117E"/>
    <w:rsid w:val="006E2683"/>
    <w:rsid w:val="006E6FED"/>
    <w:rsid w:val="006E7103"/>
    <w:rsid w:val="006F13D5"/>
    <w:rsid w:val="006F4395"/>
    <w:rsid w:val="006F5337"/>
    <w:rsid w:val="00702ABB"/>
    <w:rsid w:val="0070330D"/>
    <w:rsid w:val="00704647"/>
    <w:rsid w:val="00706599"/>
    <w:rsid w:val="0070735E"/>
    <w:rsid w:val="007116A3"/>
    <w:rsid w:val="007125FA"/>
    <w:rsid w:val="00713DC8"/>
    <w:rsid w:val="00713FA7"/>
    <w:rsid w:val="00714D9A"/>
    <w:rsid w:val="00724C9A"/>
    <w:rsid w:val="00724CDC"/>
    <w:rsid w:val="00724D55"/>
    <w:rsid w:val="00733DEE"/>
    <w:rsid w:val="00734C76"/>
    <w:rsid w:val="00743891"/>
    <w:rsid w:val="00744232"/>
    <w:rsid w:val="00745678"/>
    <w:rsid w:val="00745737"/>
    <w:rsid w:val="00747F68"/>
    <w:rsid w:val="0075725B"/>
    <w:rsid w:val="00766924"/>
    <w:rsid w:val="007738BA"/>
    <w:rsid w:val="00773C8F"/>
    <w:rsid w:val="0077482B"/>
    <w:rsid w:val="007748E5"/>
    <w:rsid w:val="00777E45"/>
    <w:rsid w:val="00781B33"/>
    <w:rsid w:val="00785474"/>
    <w:rsid w:val="00786CEF"/>
    <w:rsid w:val="00790D42"/>
    <w:rsid w:val="00793217"/>
    <w:rsid w:val="00793D19"/>
    <w:rsid w:val="007945D0"/>
    <w:rsid w:val="007A10B6"/>
    <w:rsid w:val="007A6613"/>
    <w:rsid w:val="007A7C75"/>
    <w:rsid w:val="007B1441"/>
    <w:rsid w:val="007B494D"/>
    <w:rsid w:val="007B6870"/>
    <w:rsid w:val="007C078B"/>
    <w:rsid w:val="007C11FA"/>
    <w:rsid w:val="007C12DB"/>
    <w:rsid w:val="007C1638"/>
    <w:rsid w:val="007C2FC5"/>
    <w:rsid w:val="007D0A49"/>
    <w:rsid w:val="007D0EAE"/>
    <w:rsid w:val="007D20B6"/>
    <w:rsid w:val="007D2E80"/>
    <w:rsid w:val="007E1DB5"/>
    <w:rsid w:val="007E2060"/>
    <w:rsid w:val="007E3EE1"/>
    <w:rsid w:val="007E4689"/>
    <w:rsid w:val="007E4DB3"/>
    <w:rsid w:val="007E7323"/>
    <w:rsid w:val="007F4AEC"/>
    <w:rsid w:val="007F513E"/>
    <w:rsid w:val="007F5D50"/>
    <w:rsid w:val="007F6D4D"/>
    <w:rsid w:val="007F7FAB"/>
    <w:rsid w:val="00801913"/>
    <w:rsid w:val="0080258C"/>
    <w:rsid w:val="00803645"/>
    <w:rsid w:val="00804E20"/>
    <w:rsid w:val="008117EC"/>
    <w:rsid w:val="00811A5A"/>
    <w:rsid w:val="00812FFB"/>
    <w:rsid w:val="00817DFD"/>
    <w:rsid w:val="00822311"/>
    <w:rsid w:val="00822914"/>
    <w:rsid w:val="00826470"/>
    <w:rsid w:val="00830CF9"/>
    <w:rsid w:val="00831A8F"/>
    <w:rsid w:val="00832063"/>
    <w:rsid w:val="00837887"/>
    <w:rsid w:val="008440E7"/>
    <w:rsid w:val="00844811"/>
    <w:rsid w:val="00845463"/>
    <w:rsid w:val="00845B50"/>
    <w:rsid w:val="008540CB"/>
    <w:rsid w:val="008540E8"/>
    <w:rsid w:val="008576F1"/>
    <w:rsid w:val="00860EB0"/>
    <w:rsid w:val="008614CD"/>
    <w:rsid w:val="008614E3"/>
    <w:rsid w:val="00861E13"/>
    <w:rsid w:val="008622F3"/>
    <w:rsid w:val="008639F5"/>
    <w:rsid w:val="00865DB0"/>
    <w:rsid w:val="00870353"/>
    <w:rsid w:val="00870B44"/>
    <w:rsid w:val="008716C0"/>
    <w:rsid w:val="00874CEB"/>
    <w:rsid w:val="0087511B"/>
    <w:rsid w:val="008763BA"/>
    <w:rsid w:val="0087770F"/>
    <w:rsid w:val="00880DFB"/>
    <w:rsid w:val="0088244D"/>
    <w:rsid w:val="00882945"/>
    <w:rsid w:val="00882BB1"/>
    <w:rsid w:val="00884953"/>
    <w:rsid w:val="00887952"/>
    <w:rsid w:val="00890D4C"/>
    <w:rsid w:val="0089110E"/>
    <w:rsid w:val="0089112F"/>
    <w:rsid w:val="00895362"/>
    <w:rsid w:val="00895562"/>
    <w:rsid w:val="008A23C3"/>
    <w:rsid w:val="008A341A"/>
    <w:rsid w:val="008A3B18"/>
    <w:rsid w:val="008A7494"/>
    <w:rsid w:val="008B2395"/>
    <w:rsid w:val="008B409A"/>
    <w:rsid w:val="008B4135"/>
    <w:rsid w:val="008B4E98"/>
    <w:rsid w:val="008C0641"/>
    <w:rsid w:val="008C11BB"/>
    <w:rsid w:val="008C1EC6"/>
    <w:rsid w:val="008C3F8F"/>
    <w:rsid w:val="008D13D3"/>
    <w:rsid w:val="008D3B56"/>
    <w:rsid w:val="008D3EE8"/>
    <w:rsid w:val="008D4085"/>
    <w:rsid w:val="008D5DFE"/>
    <w:rsid w:val="008E11A0"/>
    <w:rsid w:val="008E5243"/>
    <w:rsid w:val="008F26EA"/>
    <w:rsid w:val="008F3F36"/>
    <w:rsid w:val="008F4275"/>
    <w:rsid w:val="008F4C49"/>
    <w:rsid w:val="008F5215"/>
    <w:rsid w:val="0090234F"/>
    <w:rsid w:val="0090577B"/>
    <w:rsid w:val="009067D3"/>
    <w:rsid w:val="00907289"/>
    <w:rsid w:val="00910C7D"/>
    <w:rsid w:val="00910CBD"/>
    <w:rsid w:val="00916930"/>
    <w:rsid w:val="00921473"/>
    <w:rsid w:val="00921B8C"/>
    <w:rsid w:val="0092227F"/>
    <w:rsid w:val="00924260"/>
    <w:rsid w:val="00927B97"/>
    <w:rsid w:val="00927EE1"/>
    <w:rsid w:val="00933871"/>
    <w:rsid w:val="00933D8D"/>
    <w:rsid w:val="00933F4E"/>
    <w:rsid w:val="00937B4B"/>
    <w:rsid w:val="0094108C"/>
    <w:rsid w:val="0094165F"/>
    <w:rsid w:val="00941BFD"/>
    <w:rsid w:val="009420D1"/>
    <w:rsid w:val="009442D8"/>
    <w:rsid w:val="009445EC"/>
    <w:rsid w:val="009464BE"/>
    <w:rsid w:val="00946B39"/>
    <w:rsid w:val="009479E6"/>
    <w:rsid w:val="00954CD1"/>
    <w:rsid w:val="00956D35"/>
    <w:rsid w:val="009608FC"/>
    <w:rsid w:val="00961736"/>
    <w:rsid w:val="00963D7F"/>
    <w:rsid w:val="00966D8C"/>
    <w:rsid w:val="00976458"/>
    <w:rsid w:val="00976F01"/>
    <w:rsid w:val="0098158F"/>
    <w:rsid w:val="009847C3"/>
    <w:rsid w:val="00984A47"/>
    <w:rsid w:val="00985E02"/>
    <w:rsid w:val="00991DB1"/>
    <w:rsid w:val="00993548"/>
    <w:rsid w:val="009946EC"/>
    <w:rsid w:val="00997B52"/>
    <w:rsid w:val="009A1F4F"/>
    <w:rsid w:val="009A4AB6"/>
    <w:rsid w:val="009B7D3A"/>
    <w:rsid w:val="009B7DF3"/>
    <w:rsid w:val="009C0303"/>
    <w:rsid w:val="009C13EB"/>
    <w:rsid w:val="009C15B1"/>
    <w:rsid w:val="009C2582"/>
    <w:rsid w:val="009C3918"/>
    <w:rsid w:val="009C3B89"/>
    <w:rsid w:val="009C6B29"/>
    <w:rsid w:val="009C75F6"/>
    <w:rsid w:val="009D0751"/>
    <w:rsid w:val="009D1459"/>
    <w:rsid w:val="009D1FE0"/>
    <w:rsid w:val="009D210C"/>
    <w:rsid w:val="009D2663"/>
    <w:rsid w:val="009D4EA8"/>
    <w:rsid w:val="009D5845"/>
    <w:rsid w:val="009D6FF9"/>
    <w:rsid w:val="009E0A20"/>
    <w:rsid w:val="009E6045"/>
    <w:rsid w:val="009F16CE"/>
    <w:rsid w:val="009F1B50"/>
    <w:rsid w:val="009F30A6"/>
    <w:rsid w:val="009F6626"/>
    <w:rsid w:val="009F7932"/>
    <w:rsid w:val="00A01B97"/>
    <w:rsid w:val="00A03757"/>
    <w:rsid w:val="00A0516C"/>
    <w:rsid w:val="00A1146B"/>
    <w:rsid w:val="00A13643"/>
    <w:rsid w:val="00A14D8E"/>
    <w:rsid w:val="00A21B27"/>
    <w:rsid w:val="00A22F27"/>
    <w:rsid w:val="00A25C48"/>
    <w:rsid w:val="00A27890"/>
    <w:rsid w:val="00A32BF5"/>
    <w:rsid w:val="00A346C9"/>
    <w:rsid w:val="00A35CED"/>
    <w:rsid w:val="00A36171"/>
    <w:rsid w:val="00A3702F"/>
    <w:rsid w:val="00A470A6"/>
    <w:rsid w:val="00A508E6"/>
    <w:rsid w:val="00A5096A"/>
    <w:rsid w:val="00A5217D"/>
    <w:rsid w:val="00A52AFC"/>
    <w:rsid w:val="00A6099B"/>
    <w:rsid w:val="00A60B1D"/>
    <w:rsid w:val="00A62117"/>
    <w:rsid w:val="00A622D1"/>
    <w:rsid w:val="00A65ED8"/>
    <w:rsid w:val="00A70F16"/>
    <w:rsid w:val="00A71216"/>
    <w:rsid w:val="00A7315A"/>
    <w:rsid w:val="00A80305"/>
    <w:rsid w:val="00A80679"/>
    <w:rsid w:val="00A8437E"/>
    <w:rsid w:val="00A85FF9"/>
    <w:rsid w:val="00A86396"/>
    <w:rsid w:val="00A9043B"/>
    <w:rsid w:val="00A93F51"/>
    <w:rsid w:val="00A9480A"/>
    <w:rsid w:val="00AA1ED4"/>
    <w:rsid w:val="00AA2BC9"/>
    <w:rsid w:val="00AA66F4"/>
    <w:rsid w:val="00AB117E"/>
    <w:rsid w:val="00AB1393"/>
    <w:rsid w:val="00AB1BE6"/>
    <w:rsid w:val="00AB7C41"/>
    <w:rsid w:val="00AC1B1F"/>
    <w:rsid w:val="00AC2E0D"/>
    <w:rsid w:val="00AC43FF"/>
    <w:rsid w:val="00AC6FC0"/>
    <w:rsid w:val="00AC790B"/>
    <w:rsid w:val="00AD7E79"/>
    <w:rsid w:val="00AE0D40"/>
    <w:rsid w:val="00AE5746"/>
    <w:rsid w:val="00AE6C25"/>
    <w:rsid w:val="00AE76F4"/>
    <w:rsid w:val="00AF031D"/>
    <w:rsid w:val="00AF05F4"/>
    <w:rsid w:val="00AF088E"/>
    <w:rsid w:val="00AF59D4"/>
    <w:rsid w:val="00B015E2"/>
    <w:rsid w:val="00B03E46"/>
    <w:rsid w:val="00B04198"/>
    <w:rsid w:val="00B1004B"/>
    <w:rsid w:val="00B114C2"/>
    <w:rsid w:val="00B11652"/>
    <w:rsid w:val="00B1240C"/>
    <w:rsid w:val="00B13DA3"/>
    <w:rsid w:val="00B14E31"/>
    <w:rsid w:val="00B15F2E"/>
    <w:rsid w:val="00B17832"/>
    <w:rsid w:val="00B21BC4"/>
    <w:rsid w:val="00B27D2B"/>
    <w:rsid w:val="00B3168A"/>
    <w:rsid w:val="00B326CA"/>
    <w:rsid w:val="00B335BD"/>
    <w:rsid w:val="00B376B7"/>
    <w:rsid w:val="00B40781"/>
    <w:rsid w:val="00B412E1"/>
    <w:rsid w:val="00B47021"/>
    <w:rsid w:val="00B47552"/>
    <w:rsid w:val="00B50E58"/>
    <w:rsid w:val="00B53807"/>
    <w:rsid w:val="00B54C27"/>
    <w:rsid w:val="00B60E6A"/>
    <w:rsid w:val="00B61E9A"/>
    <w:rsid w:val="00B61F86"/>
    <w:rsid w:val="00B64391"/>
    <w:rsid w:val="00B64C0A"/>
    <w:rsid w:val="00B72BEB"/>
    <w:rsid w:val="00B81512"/>
    <w:rsid w:val="00B8472F"/>
    <w:rsid w:val="00B90546"/>
    <w:rsid w:val="00B933FC"/>
    <w:rsid w:val="00B947E2"/>
    <w:rsid w:val="00B970BD"/>
    <w:rsid w:val="00B9724E"/>
    <w:rsid w:val="00BA0659"/>
    <w:rsid w:val="00BA1D10"/>
    <w:rsid w:val="00BB10FC"/>
    <w:rsid w:val="00BB150C"/>
    <w:rsid w:val="00BB3151"/>
    <w:rsid w:val="00BB3AE8"/>
    <w:rsid w:val="00BC0B10"/>
    <w:rsid w:val="00BC0DF2"/>
    <w:rsid w:val="00BC158B"/>
    <w:rsid w:val="00BC60F7"/>
    <w:rsid w:val="00BD0488"/>
    <w:rsid w:val="00BD077B"/>
    <w:rsid w:val="00BD0FA6"/>
    <w:rsid w:val="00BD3FEB"/>
    <w:rsid w:val="00BD505E"/>
    <w:rsid w:val="00BD5279"/>
    <w:rsid w:val="00BE0B3D"/>
    <w:rsid w:val="00BE3644"/>
    <w:rsid w:val="00BE39B7"/>
    <w:rsid w:val="00BE73DB"/>
    <w:rsid w:val="00BE7448"/>
    <w:rsid w:val="00BF258C"/>
    <w:rsid w:val="00BF550B"/>
    <w:rsid w:val="00BF6B79"/>
    <w:rsid w:val="00C00E75"/>
    <w:rsid w:val="00C02140"/>
    <w:rsid w:val="00C064EC"/>
    <w:rsid w:val="00C0693E"/>
    <w:rsid w:val="00C07E21"/>
    <w:rsid w:val="00C12191"/>
    <w:rsid w:val="00C12806"/>
    <w:rsid w:val="00C13EF0"/>
    <w:rsid w:val="00C26195"/>
    <w:rsid w:val="00C30146"/>
    <w:rsid w:val="00C31D4E"/>
    <w:rsid w:val="00C35DB6"/>
    <w:rsid w:val="00C368DC"/>
    <w:rsid w:val="00C450C6"/>
    <w:rsid w:val="00C463C6"/>
    <w:rsid w:val="00C46F6B"/>
    <w:rsid w:val="00C504D5"/>
    <w:rsid w:val="00C51607"/>
    <w:rsid w:val="00C52355"/>
    <w:rsid w:val="00C5244D"/>
    <w:rsid w:val="00C52F07"/>
    <w:rsid w:val="00C53534"/>
    <w:rsid w:val="00C54376"/>
    <w:rsid w:val="00C60CF4"/>
    <w:rsid w:val="00C617E5"/>
    <w:rsid w:val="00C618A6"/>
    <w:rsid w:val="00C61E4F"/>
    <w:rsid w:val="00C61F8D"/>
    <w:rsid w:val="00C62859"/>
    <w:rsid w:val="00C66842"/>
    <w:rsid w:val="00C66869"/>
    <w:rsid w:val="00C71FCB"/>
    <w:rsid w:val="00C72D16"/>
    <w:rsid w:val="00C7317C"/>
    <w:rsid w:val="00C73EDA"/>
    <w:rsid w:val="00C73FBE"/>
    <w:rsid w:val="00C77B09"/>
    <w:rsid w:val="00C8141C"/>
    <w:rsid w:val="00C846CF"/>
    <w:rsid w:val="00C926DD"/>
    <w:rsid w:val="00C9337C"/>
    <w:rsid w:val="00C95004"/>
    <w:rsid w:val="00C96699"/>
    <w:rsid w:val="00C96DAB"/>
    <w:rsid w:val="00CA1B54"/>
    <w:rsid w:val="00CA42A8"/>
    <w:rsid w:val="00CB0D58"/>
    <w:rsid w:val="00CB1F42"/>
    <w:rsid w:val="00CB5AD2"/>
    <w:rsid w:val="00CB668A"/>
    <w:rsid w:val="00CC24F0"/>
    <w:rsid w:val="00CC6981"/>
    <w:rsid w:val="00CC777F"/>
    <w:rsid w:val="00CD0353"/>
    <w:rsid w:val="00CE0035"/>
    <w:rsid w:val="00CE0712"/>
    <w:rsid w:val="00CE1C09"/>
    <w:rsid w:val="00CF57CC"/>
    <w:rsid w:val="00D00572"/>
    <w:rsid w:val="00D04537"/>
    <w:rsid w:val="00D05D2D"/>
    <w:rsid w:val="00D07E24"/>
    <w:rsid w:val="00D15797"/>
    <w:rsid w:val="00D170C5"/>
    <w:rsid w:val="00D23F0B"/>
    <w:rsid w:val="00D24FB2"/>
    <w:rsid w:val="00D2502B"/>
    <w:rsid w:val="00D2572A"/>
    <w:rsid w:val="00D267D2"/>
    <w:rsid w:val="00D27970"/>
    <w:rsid w:val="00D302F5"/>
    <w:rsid w:val="00D3474D"/>
    <w:rsid w:val="00D34F68"/>
    <w:rsid w:val="00D35C23"/>
    <w:rsid w:val="00D36149"/>
    <w:rsid w:val="00D372CF"/>
    <w:rsid w:val="00D373C9"/>
    <w:rsid w:val="00D37742"/>
    <w:rsid w:val="00D37E73"/>
    <w:rsid w:val="00D42DC1"/>
    <w:rsid w:val="00D43E62"/>
    <w:rsid w:val="00D45558"/>
    <w:rsid w:val="00D4763D"/>
    <w:rsid w:val="00D4789C"/>
    <w:rsid w:val="00D50A2B"/>
    <w:rsid w:val="00D50C6A"/>
    <w:rsid w:val="00D51431"/>
    <w:rsid w:val="00D52D42"/>
    <w:rsid w:val="00D54256"/>
    <w:rsid w:val="00D544E3"/>
    <w:rsid w:val="00D56296"/>
    <w:rsid w:val="00D568D0"/>
    <w:rsid w:val="00D57960"/>
    <w:rsid w:val="00D602E9"/>
    <w:rsid w:val="00D6221E"/>
    <w:rsid w:val="00D65183"/>
    <w:rsid w:val="00D66334"/>
    <w:rsid w:val="00D71095"/>
    <w:rsid w:val="00D7182E"/>
    <w:rsid w:val="00D720FB"/>
    <w:rsid w:val="00D734DA"/>
    <w:rsid w:val="00D7350F"/>
    <w:rsid w:val="00D76A6B"/>
    <w:rsid w:val="00D779EB"/>
    <w:rsid w:val="00D80137"/>
    <w:rsid w:val="00D834E2"/>
    <w:rsid w:val="00D84AD2"/>
    <w:rsid w:val="00D85ADC"/>
    <w:rsid w:val="00D85CE1"/>
    <w:rsid w:val="00D85E32"/>
    <w:rsid w:val="00D86FAD"/>
    <w:rsid w:val="00D87A62"/>
    <w:rsid w:val="00D9217A"/>
    <w:rsid w:val="00D92D31"/>
    <w:rsid w:val="00D942A4"/>
    <w:rsid w:val="00DA0297"/>
    <w:rsid w:val="00DA13D0"/>
    <w:rsid w:val="00DA45E1"/>
    <w:rsid w:val="00DA7432"/>
    <w:rsid w:val="00DA758C"/>
    <w:rsid w:val="00DB4704"/>
    <w:rsid w:val="00DC2BC0"/>
    <w:rsid w:val="00DC2CB6"/>
    <w:rsid w:val="00DC5090"/>
    <w:rsid w:val="00DD1A24"/>
    <w:rsid w:val="00DD2455"/>
    <w:rsid w:val="00DD3523"/>
    <w:rsid w:val="00DD4628"/>
    <w:rsid w:val="00DD5F8D"/>
    <w:rsid w:val="00DD7A21"/>
    <w:rsid w:val="00DE0557"/>
    <w:rsid w:val="00DE07CD"/>
    <w:rsid w:val="00DE14D6"/>
    <w:rsid w:val="00DE1CE3"/>
    <w:rsid w:val="00DE2BA4"/>
    <w:rsid w:val="00DE57D1"/>
    <w:rsid w:val="00DE671B"/>
    <w:rsid w:val="00DE734F"/>
    <w:rsid w:val="00DF0FE4"/>
    <w:rsid w:val="00DF2E54"/>
    <w:rsid w:val="00DF2E6B"/>
    <w:rsid w:val="00DF3049"/>
    <w:rsid w:val="00DF3CDA"/>
    <w:rsid w:val="00DF6728"/>
    <w:rsid w:val="00E03819"/>
    <w:rsid w:val="00E05612"/>
    <w:rsid w:val="00E061FA"/>
    <w:rsid w:val="00E10858"/>
    <w:rsid w:val="00E13550"/>
    <w:rsid w:val="00E1475D"/>
    <w:rsid w:val="00E16CED"/>
    <w:rsid w:val="00E21C6E"/>
    <w:rsid w:val="00E22A9E"/>
    <w:rsid w:val="00E32672"/>
    <w:rsid w:val="00E33182"/>
    <w:rsid w:val="00E350C0"/>
    <w:rsid w:val="00E35AF0"/>
    <w:rsid w:val="00E366D2"/>
    <w:rsid w:val="00E36E40"/>
    <w:rsid w:val="00E40990"/>
    <w:rsid w:val="00E42360"/>
    <w:rsid w:val="00E4640E"/>
    <w:rsid w:val="00E5119F"/>
    <w:rsid w:val="00E519AA"/>
    <w:rsid w:val="00E51D2D"/>
    <w:rsid w:val="00E5221D"/>
    <w:rsid w:val="00E56F91"/>
    <w:rsid w:val="00E61339"/>
    <w:rsid w:val="00E62F66"/>
    <w:rsid w:val="00E630FD"/>
    <w:rsid w:val="00E65198"/>
    <w:rsid w:val="00E67205"/>
    <w:rsid w:val="00E70F38"/>
    <w:rsid w:val="00E72A45"/>
    <w:rsid w:val="00E82B69"/>
    <w:rsid w:val="00E9100E"/>
    <w:rsid w:val="00E92100"/>
    <w:rsid w:val="00E92388"/>
    <w:rsid w:val="00E9359C"/>
    <w:rsid w:val="00E94FB9"/>
    <w:rsid w:val="00E94FCF"/>
    <w:rsid w:val="00E950BB"/>
    <w:rsid w:val="00E966A6"/>
    <w:rsid w:val="00EA0709"/>
    <w:rsid w:val="00EA1B43"/>
    <w:rsid w:val="00EA230C"/>
    <w:rsid w:val="00EA3C9F"/>
    <w:rsid w:val="00EA428E"/>
    <w:rsid w:val="00EA7086"/>
    <w:rsid w:val="00EA79D2"/>
    <w:rsid w:val="00EB30AF"/>
    <w:rsid w:val="00EB4276"/>
    <w:rsid w:val="00EB739C"/>
    <w:rsid w:val="00EC252F"/>
    <w:rsid w:val="00EC5926"/>
    <w:rsid w:val="00EC6C56"/>
    <w:rsid w:val="00ED0159"/>
    <w:rsid w:val="00ED04F7"/>
    <w:rsid w:val="00ED4645"/>
    <w:rsid w:val="00EE0215"/>
    <w:rsid w:val="00EE22D1"/>
    <w:rsid w:val="00EE3355"/>
    <w:rsid w:val="00EE495C"/>
    <w:rsid w:val="00EE66DB"/>
    <w:rsid w:val="00EE7A78"/>
    <w:rsid w:val="00EF0E8A"/>
    <w:rsid w:val="00EF0F2F"/>
    <w:rsid w:val="00EF123B"/>
    <w:rsid w:val="00EF25F9"/>
    <w:rsid w:val="00EF2C20"/>
    <w:rsid w:val="00EF3671"/>
    <w:rsid w:val="00EF3DD5"/>
    <w:rsid w:val="00EF5699"/>
    <w:rsid w:val="00F0017D"/>
    <w:rsid w:val="00F0342E"/>
    <w:rsid w:val="00F04D82"/>
    <w:rsid w:val="00F126F0"/>
    <w:rsid w:val="00F15D31"/>
    <w:rsid w:val="00F15F58"/>
    <w:rsid w:val="00F24DB0"/>
    <w:rsid w:val="00F25296"/>
    <w:rsid w:val="00F256A5"/>
    <w:rsid w:val="00F33130"/>
    <w:rsid w:val="00F35D24"/>
    <w:rsid w:val="00F41710"/>
    <w:rsid w:val="00F4216C"/>
    <w:rsid w:val="00F44312"/>
    <w:rsid w:val="00F44BFF"/>
    <w:rsid w:val="00F45555"/>
    <w:rsid w:val="00F50D8C"/>
    <w:rsid w:val="00F50DBA"/>
    <w:rsid w:val="00F5369D"/>
    <w:rsid w:val="00F541FE"/>
    <w:rsid w:val="00F55693"/>
    <w:rsid w:val="00F60DF7"/>
    <w:rsid w:val="00F63A02"/>
    <w:rsid w:val="00F664E5"/>
    <w:rsid w:val="00F665D6"/>
    <w:rsid w:val="00F700B7"/>
    <w:rsid w:val="00F708B1"/>
    <w:rsid w:val="00F73719"/>
    <w:rsid w:val="00F74F88"/>
    <w:rsid w:val="00F76803"/>
    <w:rsid w:val="00F82072"/>
    <w:rsid w:val="00F83F59"/>
    <w:rsid w:val="00F84C1A"/>
    <w:rsid w:val="00F8541B"/>
    <w:rsid w:val="00F85491"/>
    <w:rsid w:val="00F85ACF"/>
    <w:rsid w:val="00F909F0"/>
    <w:rsid w:val="00F90F74"/>
    <w:rsid w:val="00F93CCB"/>
    <w:rsid w:val="00F945B2"/>
    <w:rsid w:val="00F96645"/>
    <w:rsid w:val="00FA0A3B"/>
    <w:rsid w:val="00FA1FE9"/>
    <w:rsid w:val="00FA274C"/>
    <w:rsid w:val="00FA2F37"/>
    <w:rsid w:val="00FA3BDA"/>
    <w:rsid w:val="00FA7488"/>
    <w:rsid w:val="00FB3BC8"/>
    <w:rsid w:val="00FB59C6"/>
    <w:rsid w:val="00FB6915"/>
    <w:rsid w:val="00FB7751"/>
    <w:rsid w:val="00FC0E0D"/>
    <w:rsid w:val="00FC1536"/>
    <w:rsid w:val="00FC23D4"/>
    <w:rsid w:val="00FC2B28"/>
    <w:rsid w:val="00FD44D8"/>
    <w:rsid w:val="00FD4777"/>
    <w:rsid w:val="00FD6035"/>
    <w:rsid w:val="00FD673A"/>
    <w:rsid w:val="00FE2ED0"/>
    <w:rsid w:val="00FE6634"/>
    <w:rsid w:val="00FF25E7"/>
    <w:rsid w:val="00FF2CB3"/>
    <w:rsid w:val="00FF5A10"/>
    <w:rsid w:val="00FF6240"/>
    <w:rsid w:val="00FF67A8"/>
    <w:rsid w:val="0573450F"/>
    <w:rsid w:val="12700419"/>
    <w:rsid w:val="1ECA5CF6"/>
    <w:rsid w:val="236D6670"/>
    <w:rsid w:val="251B44AC"/>
    <w:rsid w:val="2A911630"/>
    <w:rsid w:val="2FD1729F"/>
    <w:rsid w:val="337E532A"/>
    <w:rsid w:val="36F70E8C"/>
    <w:rsid w:val="3AF552E3"/>
    <w:rsid w:val="3F8522D6"/>
    <w:rsid w:val="40367BB7"/>
    <w:rsid w:val="424378A0"/>
    <w:rsid w:val="479622A0"/>
    <w:rsid w:val="4E756166"/>
    <w:rsid w:val="4F3B1DB2"/>
    <w:rsid w:val="57FECF29"/>
    <w:rsid w:val="5BE82042"/>
    <w:rsid w:val="65D62BA7"/>
    <w:rsid w:val="66F811E8"/>
    <w:rsid w:val="6B5E63D6"/>
    <w:rsid w:val="6C2E4975"/>
    <w:rsid w:val="6FFE9F40"/>
    <w:rsid w:val="77D52A00"/>
    <w:rsid w:val="79FAC2FF"/>
    <w:rsid w:val="7A397D60"/>
    <w:rsid w:val="BFFB3A10"/>
    <w:rsid w:val="CAEFA918"/>
    <w:rsid w:val="DD6757E8"/>
    <w:rsid w:val="E9EEE448"/>
    <w:rsid w:val="FFE58BDC"/>
    <w:rsid w:val="FFFF88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仿宋_GB2312" w:cstheme="minorBidi"/>
      <w:kern w:val="2"/>
      <w:sz w:val="28"/>
      <w:szCs w:val="22"/>
      <w:lang w:val="en-US" w:eastAsia="zh-CN" w:bidi="ar-SA"/>
    </w:rPr>
  </w:style>
  <w:style w:type="paragraph" w:styleId="3">
    <w:name w:val="heading 1"/>
    <w:basedOn w:val="1"/>
    <w:next w:val="1"/>
    <w:link w:val="28"/>
    <w:qFormat/>
    <w:uiPriority w:val="9"/>
    <w:pPr>
      <w:keepNext/>
      <w:keepLines/>
      <w:pageBreakBefore/>
      <w:spacing w:before="240" w:after="240"/>
      <w:ind w:firstLine="0" w:firstLineChars="0"/>
      <w:jc w:val="left"/>
      <w:outlineLvl w:val="0"/>
    </w:pPr>
    <w:rPr>
      <w:rFonts w:ascii="黑体" w:hAnsi="黑体" w:eastAsia="黑体"/>
      <w:b/>
      <w:bCs/>
      <w:kern w:val="44"/>
      <w:sz w:val="32"/>
      <w:szCs w:val="44"/>
    </w:rPr>
  </w:style>
  <w:style w:type="paragraph" w:styleId="4">
    <w:name w:val="heading 2"/>
    <w:basedOn w:val="1"/>
    <w:next w:val="1"/>
    <w:link w:val="29"/>
    <w:unhideWhenUsed/>
    <w:qFormat/>
    <w:uiPriority w:val="9"/>
    <w:pPr>
      <w:keepNext/>
      <w:keepLines/>
      <w:spacing w:before="240"/>
      <w:ind w:left="147" w:leftChars="147" w:firstLine="0" w:firstLineChars="0"/>
      <w:jc w:val="left"/>
      <w:outlineLvl w:val="1"/>
    </w:pPr>
    <w:rPr>
      <w:rFonts w:ascii="楷体_GB2312" w:hAnsi="楷体_GB2312" w:eastAsia="楷体_GB2312" w:cstheme="majorBidi"/>
      <w:b/>
      <w:bCs/>
      <w:sz w:val="32"/>
      <w:szCs w:val="32"/>
    </w:rPr>
  </w:style>
  <w:style w:type="paragraph" w:styleId="5">
    <w:name w:val="heading 3"/>
    <w:basedOn w:val="1"/>
    <w:next w:val="1"/>
    <w:link w:val="30"/>
    <w:unhideWhenUsed/>
    <w:qFormat/>
    <w:uiPriority w:val="9"/>
    <w:pPr>
      <w:keepNext/>
      <w:keepLines/>
      <w:outlineLvl w:val="2"/>
    </w:pPr>
    <w:rPr>
      <w:b/>
      <w:bCs/>
      <w:szCs w:val="32"/>
    </w:rPr>
  </w:style>
  <w:style w:type="paragraph" w:styleId="6">
    <w:name w:val="heading 4"/>
    <w:basedOn w:val="1"/>
    <w:next w:val="1"/>
    <w:link w:val="31"/>
    <w:unhideWhenUsed/>
    <w:qFormat/>
    <w:uiPriority w:val="9"/>
    <w:pPr>
      <w:keepNext/>
      <w:keepLines/>
      <w:outlineLvl w:val="3"/>
    </w:pPr>
    <w:rPr>
      <w:rFonts w:cstheme="majorBidi"/>
      <w:b/>
      <w:bCs/>
      <w:szCs w:val="28"/>
    </w:rPr>
  </w:style>
  <w:style w:type="paragraph" w:styleId="7">
    <w:name w:val="heading 5"/>
    <w:basedOn w:val="1"/>
    <w:next w:val="1"/>
    <w:link w:val="32"/>
    <w:unhideWhenUsed/>
    <w:qFormat/>
    <w:uiPriority w:val="9"/>
    <w:pPr>
      <w:keepNext/>
      <w:keepLines/>
      <w:outlineLvl w:val="4"/>
    </w:pPr>
    <w:rPr>
      <w:b/>
      <w:bCs/>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27"/>
    <w:unhideWhenUsed/>
    <w:qFormat/>
    <w:uiPriority w:val="99"/>
    <w:rPr>
      <w:rFonts w:ascii="宋体" w:hAnsi="Courier New"/>
    </w:rPr>
  </w:style>
  <w:style w:type="paragraph" w:styleId="8">
    <w:name w:val="Normal Indent"/>
    <w:basedOn w:val="1"/>
    <w:semiHidden/>
    <w:unhideWhenUsed/>
    <w:qFormat/>
    <w:uiPriority w:val="99"/>
    <w:pPr>
      <w:autoSpaceDE w:val="0"/>
      <w:autoSpaceDN w:val="0"/>
      <w:adjustRightInd w:val="0"/>
      <w:ind w:firstLine="420"/>
    </w:pPr>
    <w:rPr>
      <w:rFonts w:ascii="仿宋_GB2312" w:hAnsi="仿宋_GB2312" w:cs="Times New Roman"/>
      <w:kern w:val="0"/>
      <w:szCs w:val="24"/>
    </w:rPr>
  </w:style>
  <w:style w:type="paragraph" w:styleId="9">
    <w:name w:val="caption"/>
    <w:basedOn w:val="1"/>
    <w:next w:val="1"/>
    <w:link w:val="33"/>
    <w:unhideWhenUsed/>
    <w:qFormat/>
    <w:uiPriority w:val="35"/>
    <w:rPr>
      <w:rFonts w:eastAsia="黑体" w:asciiTheme="majorHAnsi" w:hAnsiTheme="majorHAnsi" w:cstheme="majorBidi"/>
      <w:sz w:val="20"/>
      <w:szCs w:val="20"/>
    </w:rPr>
  </w:style>
  <w:style w:type="paragraph" w:styleId="10">
    <w:name w:val="annotation text"/>
    <w:basedOn w:val="1"/>
    <w:link w:val="34"/>
    <w:semiHidden/>
    <w:unhideWhenUsed/>
    <w:qFormat/>
    <w:uiPriority w:val="99"/>
    <w:pPr>
      <w:jc w:val="left"/>
    </w:pPr>
  </w:style>
  <w:style w:type="paragraph" w:styleId="11">
    <w:name w:val="toc 3"/>
    <w:basedOn w:val="1"/>
    <w:next w:val="1"/>
    <w:unhideWhenUsed/>
    <w:qFormat/>
    <w:uiPriority w:val="39"/>
    <w:pPr>
      <w:ind w:left="840" w:leftChars="400"/>
    </w:pPr>
    <w:rPr>
      <w:rFonts w:eastAsia="宋体"/>
      <w:sz w:val="20"/>
    </w:rPr>
  </w:style>
  <w:style w:type="paragraph" w:styleId="12">
    <w:name w:val="Date"/>
    <w:basedOn w:val="1"/>
    <w:next w:val="1"/>
    <w:link w:val="35"/>
    <w:semiHidden/>
    <w:unhideWhenUsed/>
    <w:qFormat/>
    <w:uiPriority w:val="99"/>
    <w:pPr>
      <w:ind w:left="100" w:leftChars="2500"/>
    </w:pPr>
  </w:style>
  <w:style w:type="paragraph" w:styleId="13">
    <w:name w:val="Balloon Text"/>
    <w:basedOn w:val="1"/>
    <w:link w:val="67"/>
    <w:semiHidden/>
    <w:unhideWhenUsed/>
    <w:qFormat/>
    <w:uiPriority w:val="99"/>
    <w:pPr>
      <w:spacing w:line="240" w:lineRule="auto"/>
    </w:pPr>
    <w:rPr>
      <w:sz w:val="18"/>
      <w:szCs w:val="18"/>
    </w:rPr>
  </w:style>
  <w:style w:type="paragraph" w:styleId="14">
    <w:name w:val="footer"/>
    <w:basedOn w:val="1"/>
    <w:link w:val="36"/>
    <w:unhideWhenUsed/>
    <w:qFormat/>
    <w:uiPriority w:val="99"/>
    <w:pPr>
      <w:tabs>
        <w:tab w:val="center" w:pos="4153"/>
        <w:tab w:val="right" w:pos="8306"/>
      </w:tabs>
      <w:snapToGrid w:val="0"/>
      <w:spacing w:line="240" w:lineRule="auto"/>
      <w:jc w:val="left"/>
    </w:pPr>
    <w:rPr>
      <w:sz w:val="18"/>
      <w:szCs w:val="18"/>
    </w:rPr>
  </w:style>
  <w:style w:type="paragraph" w:styleId="15">
    <w:name w:val="header"/>
    <w:basedOn w:val="1"/>
    <w:link w:val="3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6">
    <w:name w:val="toc 1"/>
    <w:basedOn w:val="1"/>
    <w:next w:val="1"/>
    <w:unhideWhenUsed/>
    <w:qFormat/>
    <w:uiPriority w:val="39"/>
    <w:pPr>
      <w:tabs>
        <w:tab w:val="right" w:leader="dot" w:pos="8834"/>
      </w:tabs>
      <w:ind w:firstLine="480"/>
    </w:pPr>
    <w:rPr>
      <w:rFonts w:ascii="宋体" w:hAnsi="宋体" w:eastAsia="宋体"/>
      <w:b/>
      <w:sz w:val="24"/>
    </w:rPr>
  </w:style>
  <w:style w:type="paragraph" w:styleId="17">
    <w:name w:val="footnote text"/>
    <w:basedOn w:val="1"/>
    <w:link w:val="38"/>
    <w:semiHidden/>
    <w:unhideWhenUsed/>
    <w:qFormat/>
    <w:uiPriority w:val="99"/>
    <w:pPr>
      <w:snapToGrid w:val="0"/>
      <w:jc w:val="left"/>
    </w:pPr>
    <w:rPr>
      <w:sz w:val="18"/>
      <w:szCs w:val="18"/>
    </w:rPr>
  </w:style>
  <w:style w:type="paragraph" w:styleId="18">
    <w:name w:val="toc 2"/>
    <w:basedOn w:val="1"/>
    <w:next w:val="1"/>
    <w:unhideWhenUsed/>
    <w:qFormat/>
    <w:uiPriority w:val="39"/>
    <w:pPr>
      <w:ind w:left="420" w:leftChars="200"/>
    </w:pPr>
    <w:rPr>
      <w:rFonts w:ascii="宋体" w:hAnsi="宋体" w:eastAsia="宋体"/>
      <w:sz w:val="22"/>
    </w:rPr>
  </w:style>
  <w:style w:type="paragraph" w:styleId="19">
    <w:name w:val="annotation subject"/>
    <w:basedOn w:val="10"/>
    <w:next w:val="10"/>
    <w:link w:val="39"/>
    <w:semiHidden/>
    <w:unhideWhenUsed/>
    <w:qFormat/>
    <w:uiPriority w:val="99"/>
    <w:rPr>
      <w:b/>
      <w:bCs/>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FollowedHyperlink"/>
    <w:basedOn w:val="22"/>
    <w:semiHidden/>
    <w:unhideWhenUsed/>
    <w:qFormat/>
    <w:uiPriority w:val="99"/>
    <w:rPr>
      <w:color w:val="954F72"/>
      <w:u w:val="single"/>
    </w:rPr>
  </w:style>
  <w:style w:type="character" w:styleId="24">
    <w:name w:val="Hyperlink"/>
    <w:basedOn w:val="22"/>
    <w:unhideWhenUsed/>
    <w:qFormat/>
    <w:uiPriority w:val="99"/>
    <w:rPr>
      <w:color w:val="0563C1" w:themeColor="hyperlink"/>
      <w:u w:val="single"/>
      <w14:textFill>
        <w14:solidFill>
          <w14:schemeClr w14:val="hlink"/>
        </w14:solidFill>
      </w14:textFill>
    </w:rPr>
  </w:style>
  <w:style w:type="character" w:styleId="25">
    <w:name w:val="annotation reference"/>
    <w:basedOn w:val="22"/>
    <w:semiHidden/>
    <w:unhideWhenUsed/>
    <w:qFormat/>
    <w:uiPriority w:val="99"/>
    <w:rPr>
      <w:sz w:val="21"/>
      <w:szCs w:val="21"/>
    </w:rPr>
  </w:style>
  <w:style w:type="character" w:styleId="26">
    <w:name w:val="footnote reference"/>
    <w:basedOn w:val="22"/>
    <w:semiHidden/>
    <w:unhideWhenUsed/>
    <w:qFormat/>
    <w:uiPriority w:val="99"/>
    <w:rPr>
      <w:vertAlign w:val="superscript"/>
    </w:rPr>
  </w:style>
  <w:style w:type="character" w:customStyle="1" w:styleId="27">
    <w:name w:val="纯文本 字符"/>
    <w:basedOn w:val="22"/>
    <w:link w:val="2"/>
    <w:qFormat/>
    <w:uiPriority w:val="99"/>
    <w:rPr>
      <w:rFonts w:ascii="宋体" w:hAnsi="Courier New" w:eastAsia="仿宋_GB2312" w:cstheme="minorBidi"/>
      <w:kern w:val="2"/>
      <w:sz w:val="28"/>
      <w:szCs w:val="22"/>
    </w:rPr>
  </w:style>
  <w:style w:type="character" w:customStyle="1" w:styleId="28">
    <w:name w:val="标题 1 字符"/>
    <w:basedOn w:val="22"/>
    <w:link w:val="3"/>
    <w:qFormat/>
    <w:uiPriority w:val="9"/>
    <w:rPr>
      <w:rFonts w:ascii="黑体" w:hAnsi="黑体" w:eastAsia="黑体" w:cstheme="minorBidi"/>
      <w:b/>
      <w:bCs/>
      <w:kern w:val="44"/>
      <w:sz w:val="32"/>
      <w:szCs w:val="44"/>
    </w:rPr>
  </w:style>
  <w:style w:type="character" w:customStyle="1" w:styleId="29">
    <w:name w:val="标题 2 字符"/>
    <w:basedOn w:val="22"/>
    <w:link w:val="4"/>
    <w:qFormat/>
    <w:uiPriority w:val="9"/>
    <w:rPr>
      <w:rFonts w:ascii="楷体_GB2312" w:hAnsi="楷体_GB2312" w:eastAsia="楷体_GB2312" w:cstheme="majorBidi"/>
      <w:b/>
      <w:bCs/>
      <w:sz w:val="32"/>
      <w:szCs w:val="32"/>
    </w:rPr>
  </w:style>
  <w:style w:type="character" w:customStyle="1" w:styleId="30">
    <w:name w:val="标题 3 字符"/>
    <w:basedOn w:val="22"/>
    <w:link w:val="5"/>
    <w:qFormat/>
    <w:uiPriority w:val="9"/>
    <w:rPr>
      <w:rFonts w:ascii="Times New Roman" w:hAnsi="Times New Roman" w:eastAsia="仿宋_GB2312"/>
      <w:b/>
      <w:bCs/>
      <w:sz w:val="28"/>
      <w:szCs w:val="32"/>
    </w:rPr>
  </w:style>
  <w:style w:type="character" w:customStyle="1" w:styleId="31">
    <w:name w:val="标题 4 字符"/>
    <w:basedOn w:val="22"/>
    <w:link w:val="6"/>
    <w:qFormat/>
    <w:uiPriority w:val="9"/>
    <w:rPr>
      <w:rFonts w:ascii="Times New Roman" w:hAnsi="Times New Roman" w:eastAsia="仿宋_GB2312" w:cstheme="majorBidi"/>
      <w:b/>
      <w:bCs/>
      <w:sz w:val="28"/>
      <w:szCs w:val="28"/>
    </w:rPr>
  </w:style>
  <w:style w:type="character" w:customStyle="1" w:styleId="32">
    <w:name w:val="标题 5 字符"/>
    <w:basedOn w:val="22"/>
    <w:link w:val="7"/>
    <w:qFormat/>
    <w:uiPriority w:val="9"/>
    <w:rPr>
      <w:rFonts w:ascii="Times New Roman" w:hAnsi="Times New Roman" w:eastAsia="仿宋_GB2312"/>
      <w:b/>
      <w:bCs/>
      <w:sz w:val="28"/>
      <w:szCs w:val="28"/>
    </w:rPr>
  </w:style>
  <w:style w:type="character" w:customStyle="1" w:styleId="33">
    <w:name w:val="题注 字符"/>
    <w:link w:val="9"/>
    <w:qFormat/>
    <w:locked/>
    <w:uiPriority w:val="35"/>
    <w:rPr>
      <w:rFonts w:eastAsia="黑体" w:asciiTheme="majorHAnsi" w:hAnsiTheme="majorHAnsi" w:cstheme="majorBidi"/>
      <w:sz w:val="20"/>
      <w:szCs w:val="20"/>
    </w:rPr>
  </w:style>
  <w:style w:type="character" w:customStyle="1" w:styleId="34">
    <w:name w:val="批注文字 字符"/>
    <w:basedOn w:val="22"/>
    <w:link w:val="10"/>
    <w:semiHidden/>
    <w:qFormat/>
    <w:uiPriority w:val="99"/>
    <w:rPr>
      <w:rFonts w:ascii="Times New Roman" w:hAnsi="Times New Roman" w:eastAsia="仿宋_GB2312"/>
      <w:sz w:val="28"/>
    </w:rPr>
  </w:style>
  <w:style w:type="character" w:customStyle="1" w:styleId="35">
    <w:name w:val="日期 字符"/>
    <w:basedOn w:val="22"/>
    <w:link w:val="12"/>
    <w:semiHidden/>
    <w:qFormat/>
    <w:uiPriority w:val="99"/>
  </w:style>
  <w:style w:type="character" w:customStyle="1" w:styleId="36">
    <w:name w:val="页脚 字符"/>
    <w:basedOn w:val="22"/>
    <w:link w:val="14"/>
    <w:qFormat/>
    <w:uiPriority w:val="99"/>
    <w:rPr>
      <w:rFonts w:ascii="Times New Roman" w:hAnsi="Times New Roman" w:eastAsia="仿宋_GB2312"/>
      <w:sz w:val="18"/>
      <w:szCs w:val="18"/>
    </w:rPr>
  </w:style>
  <w:style w:type="character" w:customStyle="1" w:styleId="37">
    <w:name w:val="页眉 字符"/>
    <w:basedOn w:val="22"/>
    <w:link w:val="15"/>
    <w:qFormat/>
    <w:uiPriority w:val="99"/>
    <w:rPr>
      <w:rFonts w:ascii="Times New Roman" w:hAnsi="Times New Roman" w:eastAsia="仿宋_GB2312"/>
      <w:sz w:val="18"/>
      <w:szCs w:val="18"/>
    </w:rPr>
  </w:style>
  <w:style w:type="character" w:customStyle="1" w:styleId="38">
    <w:name w:val="脚注文本 字符"/>
    <w:basedOn w:val="22"/>
    <w:link w:val="17"/>
    <w:semiHidden/>
    <w:qFormat/>
    <w:uiPriority w:val="99"/>
    <w:rPr>
      <w:rFonts w:ascii="Times New Roman" w:hAnsi="Times New Roman" w:eastAsia="仿宋_GB2312"/>
      <w:kern w:val="2"/>
      <w:sz w:val="18"/>
      <w:szCs w:val="18"/>
    </w:rPr>
  </w:style>
  <w:style w:type="character" w:customStyle="1" w:styleId="39">
    <w:name w:val="批注主题 字符"/>
    <w:basedOn w:val="34"/>
    <w:link w:val="19"/>
    <w:semiHidden/>
    <w:qFormat/>
    <w:uiPriority w:val="99"/>
    <w:rPr>
      <w:rFonts w:ascii="Times New Roman" w:hAnsi="Times New Roman" w:eastAsia="仿宋_GB2312"/>
      <w:b/>
      <w:bCs/>
      <w:sz w:val="28"/>
    </w:rPr>
  </w:style>
  <w:style w:type="paragraph" w:styleId="40">
    <w:name w:val="List Paragraph"/>
    <w:basedOn w:val="1"/>
    <w:qFormat/>
    <w:uiPriority w:val="34"/>
    <w:pPr>
      <w:ind w:firstLine="420"/>
    </w:pPr>
  </w:style>
  <w:style w:type="paragraph" w:customStyle="1" w:styleId="41">
    <w:name w:val="TOC 标题1"/>
    <w:basedOn w:val="3"/>
    <w:next w:val="1"/>
    <w:unhideWhenUsed/>
    <w:qFormat/>
    <w:uiPriority w:val="39"/>
    <w:pPr>
      <w:pageBreakBefore w:val="0"/>
      <w:widowControl/>
      <w:spacing w:after="0" w:line="259" w:lineRule="auto"/>
      <w:outlineLvl w:val="9"/>
    </w:pPr>
    <w:rPr>
      <w:rFonts w:asciiTheme="majorHAnsi" w:hAnsiTheme="majorHAnsi" w:eastAsiaTheme="majorEastAsia" w:cstheme="majorBidi"/>
      <w:b w:val="0"/>
      <w:bCs w:val="0"/>
      <w:color w:val="2F5597" w:themeColor="accent1" w:themeShade="BF"/>
      <w:kern w:val="0"/>
      <w:szCs w:val="32"/>
    </w:rPr>
  </w:style>
  <w:style w:type="paragraph" w:customStyle="1" w:styleId="42">
    <w:name w:val="msonormal"/>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43">
    <w:name w:val="font5"/>
    <w:basedOn w:val="1"/>
    <w:qFormat/>
    <w:uiPriority w:val="0"/>
    <w:pPr>
      <w:widowControl/>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44">
    <w:name w:val="font6"/>
    <w:basedOn w:val="1"/>
    <w:qFormat/>
    <w:uiPriority w:val="0"/>
    <w:pPr>
      <w:widowControl/>
      <w:spacing w:before="100" w:beforeAutospacing="1" w:after="100" w:afterAutospacing="1" w:line="240" w:lineRule="auto"/>
      <w:ind w:firstLine="0" w:firstLineChars="0"/>
      <w:jc w:val="left"/>
    </w:pPr>
    <w:rPr>
      <w:rFonts w:ascii="宋体" w:hAnsi="宋体" w:eastAsia="宋体" w:cs="宋体"/>
      <w:b/>
      <w:bCs/>
      <w:kern w:val="0"/>
      <w:sz w:val="18"/>
      <w:szCs w:val="18"/>
    </w:rPr>
  </w:style>
  <w:style w:type="paragraph" w:customStyle="1" w:styleId="45">
    <w:name w:val="font7"/>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46">
    <w:name w:val="font8"/>
    <w:basedOn w:val="1"/>
    <w:qFormat/>
    <w:uiPriority w:val="0"/>
    <w:pPr>
      <w:widowControl/>
      <w:spacing w:before="100" w:beforeAutospacing="1" w:after="100" w:afterAutospacing="1" w:line="240" w:lineRule="auto"/>
      <w:ind w:firstLine="0" w:firstLineChars="0"/>
      <w:jc w:val="left"/>
    </w:pPr>
    <w:rPr>
      <w:rFonts w:ascii="黑体" w:hAnsi="黑体" w:eastAsia="黑体" w:cs="宋体"/>
      <w:color w:val="000000"/>
      <w:kern w:val="0"/>
      <w:sz w:val="20"/>
      <w:szCs w:val="20"/>
    </w:rPr>
  </w:style>
  <w:style w:type="paragraph" w:customStyle="1" w:styleId="47">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黑体" w:hAnsi="黑体" w:eastAsia="黑体" w:cs="宋体"/>
      <w:color w:val="000000"/>
      <w:kern w:val="0"/>
      <w:sz w:val="20"/>
      <w:szCs w:val="20"/>
    </w:rPr>
  </w:style>
  <w:style w:type="paragraph" w:customStyle="1" w:styleId="48">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黑体" w:hAnsi="黑体" w:eastAsia="黑体" w:cs="宋体"/>
      <w:kern w:val="0"/>
      <w:sz w:val="20"/>
      <w:szCs w:val="20"/>
    </w:rPr>
  </w:style>
  <w:style w:type="paragraph" w:customStyle="1" w:styleId="49">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黑体" w:hAnsi="黑体" w:eastAsia="黑体" w:cs="宋体"/>
      <w:kern w:val="0"/>
      <w:sz w:val="20"/>
      <w:szCs w:val="20"/>
    </w:rPr>
  </w:style>
  <w:style w:type="paragraph" w:customStyle="1" w:styleId="5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黑体" w:hAnsi="黑体" w:eastAsia="黑体" w:cs="宋体"/>
      <w:kern w:val="0"/>
      <w:sz w:val="20"/>
      <w:szCs w:val="20"/>
    </w:rPr>
  </w:style>
  <w:style w:type="paragraph" w:customStyle="1" w:styleId="5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黑体" w:hAnsi="黑体" w:eastAsia="黑体" w:cs="宋体"/>
      <w:kern w:val="0"/>
      <w:sz w:val="20"/>
      <w:szCs w:val="20"/>
    </w:rPr>
  </w:style>
  <w:style w:type="paragraph" w:customStyle="1" w:styleId="52">
    <w:name w:val="xl68"/>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53">
    <w:name w:val="xl69"/>
    <w:basedOn w:val="1"/>
    <w:qFormat/>
    <w:uiPriority w:val="0"/>
    <w:pPr>
      <w:widowControl/>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4">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5B9BD5"/>
      <w:spacing w:before="100" w:beforeAutospacing="1" w:after="100" w:afterAutospacing="1" w:line="240" w:lineRule="auto"/>
      <w:ind w:firstLine="0" w:firstLineChars="0"/>
      <w:jc w:val="center"/>
    </w:pPr>
    <w:rPr>
      <w:rFonts w:ascii="黑体" w:hAnsi="黑体" w:eastAsia="黑体" w:cs="宋体"/>
      <w:b/>
      <w:bCs/>
      <w:kern w:val="0"/>
      <w:sz w:val="20"/>
      <w:szCs w:val="20"/>
    </w:rPr>
  </w:style>
  <w:style w:type="paragraph" w:customStyle="1" w:styleId="55">
    <w:name w:val="xl7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黑体" w:hAnsi="黑体" w:eastAsia="黑体" w:cs="宋体"/>
      <w:kern w:val="0"/>
      <w:sz w:val="20"/>
      <w:szCs w:val="20"/>
    </w:rPr>
  </w:style>
  <w:style w:type="paragraph" w:customStyle="1" w:styleId="56">
    <w:name w:val="xl72"/>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黑体" w:hAnsi="黑体" w:eastAsia="黑体" w:cs="宋体"/>
      <w:kern w:val="0"/>
      <w:sz w:val="20"/>
      <w:szCs w:val="20"/>
    </w:rPr>
  </w:style>
  <w:style w:type="paragraph" w:customStyle="1" w:styleId="5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黑体" w:hAnsi="黑体" w:eastAsia="黑体" w:cs="宋体"/>
      <w:kern w:val="0"/>
      <w:sz w:val="20"/>
      <w:szCs w:val="20"/>
    </w:rPr>
  </w:style>
  <w:style w:type="paragraph" w:customStyle="1" w:styleId="58">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5B9BD5"/>
      <w:spacing w:before="100" w:beforeAutospacing="1" w:after="100" w:afterAutospacing="1" w:line="240" w:lineRule="auto"/>
      <w:ind w:firstLine="0" w:firstLineChars="0"/>
      <w:jc w:val="center"/>
    </w:pPr>
    <w:rPr>
      <w:rFonts w:ascii="黑体" w:hAnsi="黑体" w:eastAsia="黑体" w:cs="宋体"/>
      <w:b/>
      <w:bCs/>
      <w:color w:val="FFFFFF"/>
      <w:kern w:val="0"/>
      <w:sz w:val="20"/>
      <w:szCs w:val="20"/>
    </w:rPr>
  </w:style>
  <w:style w:type="paragraph" w:customStyle="1" w:styleId="59">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line="240" w:lineRule="auto"/>
      <w:ind w:firstLine="0" w:firstLineChars="0"/>
      <w:jc w:val="center"/>
    </w:pPr>
    <w:rPr>
      <w:rFonts w:ascii="黑体" w:hAnsi="黑体" w:eastAsia="黑体" w:cs="宋体"/>
      <w:b/>
      <w:bCs/>
      <w:kern w:val="0"/>
      <w:sz w:val="20"/>
      <w:szCs w:val="20"/>
    </w:rPr>
  </w:style>
  <w:style w:type="paragraph" w:customStyle="1" w:styleId="60">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line="240" w:lineRule="auto"/>
      <w:ind w:firstLine="0" w:firstLineChars="0"/>
      <w:jc w:val="center"/>
    </w:pPr>
    <w:rPr>
      <w:rFonts w:ascii="黑体" w:hAnsi="黑体" w:eastAsia="黑体" w:cs="宋体"/>
      <w:b/>
      <w:bCs/>
      <w:kern w:val="0"/>
      <w:sz w:val="20"/>
      <w:szCs w:val="20"/>
    </w:rPr>
  </w:style>
  <w:style w:type="paragraph" w:customStyle="1" w:styleId="61">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黑体" w:hAnsi="黑体" w:eastAsia="黑体" w:cs="宋体"/>
      <w:kern w:val="0"/>
      <w:sz w:val="20"/>
      <w:szCs w:val="20"/>
    </w:rPr>
  </w:style>
  <w:style w:type="paragraph" w:customStyle="1" w:styleId="62">
    <w:name w:val="xl78"/>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黑体" w:hAnsi="黑体" w:eastAsia="黑体" w:cs="宋体"/>
      <w:kern w:val="0"/>
      <w:sz w:val="20"/>
      <w:szCs w:val="20"/>
    </w:rPr>
  </w:style>
  <w:style w:type="paragraph" w:customStyle="1" w:styleId="63">
    <w:name w:val="xl7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黑体" w:hAnsi="黑体" w:eastAsia="黑体" w:cs="宋体"/>
      <w:kern w:val="0"/>
      <w:sz w:val="20"/>
      <w:szCs w:val="20"/>
    </w:rPr>
  </w:style>
  <w:style w:type="paragraph" w:customStyle="1" w:styleId="64">
    <w:name w:val="xl8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黑体" w:hAnsi="黑体" w:eastAsia="黑体" w:cs="宋体"/>
      <w:kern w:val="0"/>
      <w:sz w:val="20"/>
      <w:szCs w:val="20"/>
    </w:rPr>
  </w:style>
  <w:style w:type="paragraph" w:customStyle="1" w:styleId="65">
    <w:name w:val="修订1"/>
    <w:hidden/>
    <w:semiHidden/>
    <w:qFormat/>
    <w:uiPriority w:val="99"/>
    <w:rPr>
      <w:rFonts w:ascii="Times New Roman" w:hAnsi="Times New Roman" w:eastAsia="仿宋_GB2312" w:cstheme="minorBidi"/>
      <w:kern w:val="2"/>
      <w:sz w:val="28"/>
      <w:szCs w:val="22"/>
      <w:lang w:val="en-US" w:eastAsia="zh-CN" w:bidi="ar-SA"/>
    </w:rPr>
  </w:style>
  <w:style w:type="paragraph" w:customStyle="1" w:styleId="66">
    <w:name w:val="修订2"/>
    <w:hidden/>
    <w:semiHidden/>
    <w:qFormat/>
    <w:uiPriority w:val="99"/>
    <w:rPr>
      <w:rFonts w:ascii="Times New Roman" w:hAnsi="Times New Roman" w:eastAsia="仿宋_GB2312" w:cstheme="minorBidi"/>
      <w:kern w:val="2"/>
      <w:sz w:val="28"/>
      <w:szCs w:val="22"/>
      <w:lang w:val="en-US" w:eastAsia="zh-CN" w:bidi="ar-SA"/>
    </w:rPr>
  </w:style>
  <w:style w:type="character" w:customStyle="1" w:styleId="67">
    <w:name w:val="批注框文本 字符"/>
    <w:basedOn w:val="22"/>
    <w:link w:val="13"/>
    <w:semiHidden/>
    <w:qFormat/>
    <w:uiPriority w:val="99"/>
    <w:rPr>
      <w:rFonts w:eastAsia="仿宋_GB2312" w:cstheme="minorBidi"/>
      <w:kern w:val="2"/>
      <w:sz w:val="18"/>
      <w:szCs w:val="18"/>
    </w:rPr>
  </w:style>
  <w:style w:type="paragraph" w:customStyle="1" w:styleId="68">
    <w:name w:val="Revision"/>
    <w:hidden/>
    <w:semiHidden/>
    <w:qFormat/>
    <w:uiPriority w:val="99"/>
    <w:rPr>
      <w:rFonts w:ascii="Times New Roman" w:hAnsi="Times New Roman" w:eastAsia="仿宋_GB2312" w:cstheme="minorBidi"/>
      <w:kern w:val="2"/>
      <w:sz w:val="28"/>
      <w:szCs w:val="22"/>
      <w:lang w:val="en-US" w:eastAsia="zh-CN" w:bidi="ar-SA"/>
    </w:rPr>
  </w:style>
  <w:style w:type="paragraph" w:customStyle="1" w:styleId="6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黑体" w:hAnsi="黑体" w:eastAsia="黑体" w:cs="宋体"/>
      <w:kern w:val="0"/>
      <w:sz w:val="20"/>
      <w:szCs w:val="20"/>
    </w:rPr>
  </w:style>
  <w:style w:type="paragraph" w:customStyle="1" w:styleId="7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黑体" w:hAnsi="黑体" w:eastAsia="黑体" w:cs="宋体"/>
      <w:kern w:val="0"/>
      <w:sz w:val="20"/>
      <w:szCs w:val="20"/>
    </w:rPr>
  </w:style>
  <w:style w:type="paragraph" w:customStyle="1" w:styleId="71">
    <w:name w:val="font9"/>
    <w:basedOn w:val="1"/>
    <w:qFormat/>
    <w:uiPriority w:val="0"/>
    <w:pPr>
      <w:widowControl/>
      <w:spacing w:before="100" w:beforeAutospacing="1" w:after="100" w:afterAutospacing="1" w:line="240" w:lineRule="auto"/>
      <w:ind w:firstLine="0" w:firstLineChars="0"/>
      <w:jc w:val="left"/>
    </w:pPr>
    <w:rPr>
      <w:rFonts w:ascii="黑体" w:hAnsi="黑体" w:eastAsia="黑体" w:cs="宋体"/>
      <w:color w:val="FF0000"/>
      <w:kern w:val="0"/>
      <w:sz w:val="20"/>
      <w:szCs w:val="20"/>
    </w:rPr>
  </w:style>
  <w:style w:type="paragraph" w:customStyle="1" w:styleId="72">
    <w:name w:val="font10"/>
    <w:basedOn w:val="1"/>
    <w:qFormat/>
    <w:uiPriority w:val="0"/>
    <w:pPr>
      <w:widowControl/>
      <w:spacing w:before="100" w:beforeAutospacing="1" w:after="100" w:afterAutospacing="1" w:line="240" w:lineRule="auto"/>
      <w:ind w:firstLine="0" w:firstLineChars="0"/>
      <w:jc w:val="left"/>
    </w:pPr>
    <w:rPr>
      <w:rFonts w:ascii="黑体" w:hAnsi="黑体" w:eastAsia="黑体" w:cs="宋体"/>
      <w:color w:val="000000"/>
      <w:kern w:val="0"/>
      <w:sz w:val="20"/>
      <w:szCs w:val="20"/>
    </w:rPr>
  </w:style>
  <w:style w:type="paragraph" w:customStyle="1" w:styleId="73">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黑体" w:hAnsi="黑体" w:eastAsia="黑体" w:cs="宋体"/>
      <w:kern w:val="0"/>
      <w:sz w:val="20"/>
      <w:szCs w:val="20"/>
    </w:rPr>
  </w:style>
  <w:style w:type="paragraph" w:customStyle="1" w:styleId="7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黑体" w:hAnsi="黑体" w:eastAsia="黑体" w:cs="宋体"/>
      <w:kern w:val="0"/>
      <w:sz w:val="20"/>
      <w:szCs w:val="20"/>
    </w:rPr>
  </w:style>
  <w:style w:type="paragraph" w:customStyle="1" w:styleId="7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黑体" w:hAnsi="黑体" w:eastAsia="黑体" w:cs="宋体"/>
      <w:color w:val="FF0000"/>
      <w:kern w:val="0"/>
      <w:sz w:val="20"/>
      <w:szCs w:val="20"/>
    </w:rPr>
  </w:style>
  <w:style w:type="paragraph" w:customStyle="1" w:styleId="7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黑体" w:hAnsi="黑体" w:eastAsia="黑体" w:cs="宋体"/>
      <w:color w:val="FF0000"/>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74</Pages>
  <Words>7175</Words>
  <Characters>40901</Characters>
  <Lines>340</Lines>
  <Paragraphs>95</Paragraphs>
  <TotalTime>1218</TotalTime>
  <ScaleCrop>false</ScaleCrop>
  <LinksUpToDate>false</LinksUpToDate>
  <CharactersWithSpaces>47981</CharactersWithSpaces>
  <Application>WPS Office_11.8.2.10489_F1E327BC-269C-435d-A152-05C5408002CA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2022-09-01T12:22:00Z</dcterms:created>
  <dc:creator>马 菲</dc:creator>
  <cp:lastModifiedBy>huawei</cp:lastModifiedBy>
  <dcterms:modified xsi:type="dcterms:W3CDTF">2022-11-21T11:09:28Z</dcterms:modified>
  <cp:revision>224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y fmtid="{D5CDD505-2E9C-101B-9397-08002B2CF9AE}" pid="3" name="ICV">
    <vt:lpwstr>B46CCAC542284FD8AF8E3BBE4EB83101</vt:lpwstr>
  </property>
</Properties>
</file>