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0" w:name="Content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碳酸锂期货合约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及相关规则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修订对照表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（注：双删除线为删除内容，加粗为新增内容）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黑体" w:cs="Calibri"/>
          <w:b/>
          <w:color w:val="000000"/>
          <w:kern w:val="44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黑体" w:hAnsi="黑体" w:eastAsia="黑体" w:cs="Calibri"/>
          <w:bCs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  <w:shd w:val="clear" w:color="auto" w:fill="FFFFFF"/>
        </w:rPr>
        <w:t>一、</w:t>
      </w:r>
      <w:r>
        <w:rPr>
          <w:rFonts w:ascii="黑体" w:hAnsi="黑体" w:eastAsia="黑体" w:cs="Calibri"/>
          <w:bCs/>
          <w:kern w:val="0"/>
          <w:sz w:val="32"/>
          <w:szCs w:val="32"/>
        </w:rPr>
        <w:t>《</w:t>
      </w:r>
      <w:r>
        <w:rPr>
          <w:rFonts w:hint="eastAsia" w:ascii="黑体" w:hAnsi="黑体" w:eastAsia="黑体" w:cs="Calibri"/>
          <w:bCs/>
          <w:kern w:val="0"/>
          <w:sz w:val="32"/>
          <w:szCs w:val="32"/>
        </w:rPr>
        <w:t>广州期货</w:t>
      </w:r>
      <w:r>
        <w:rPr>
          <w:rFonts w:ascii="黑体" w:hAnsi="黑体" w:eastAsia="黑体" w:cs="Calibri"/>
          <w:bCs/>
          <w:kern w:val="0"/>
          <w:sz w:val="32"/>
          <w:szCs w:val="32"/>
        </w:rPr>
        <w:t>交易所</w:t>
      </w:r>
      <w:r>
        <w:rPr>
          <w:rFonts w:hint="eastAsia" w:ascii="黑体" w:hAnsi="黑体" w:eastAsia="黑体" w:cs="Calibri"/>
          <w:bCs/>
          <w:kern w:val="0"/>
          <w:sz w:val="32"/>
          <w:szCs w:val="32"/>
        </w:rPr>
        <w:t>碳酸锂</w:t>
      </w:r>
      <w:r>
        <w:rPr>
          <w:rFonts w:ascii="黑体" w:hAnsi="黑体" w:eastAsia="黑体" w:cs="Calibri"/>
          <w:bCs/>
          <w:kern w:val="0"/>
          <w:sz w:val="32"/>
          <w:szCs w:val="32"/>
        </w:rPr>
        <w:t>期货</w:t>
      </w:r>
      <w:r>
        <w:rPr>
          <w:rFonts w:hint="eastAsia" w:ascii="黑体" w:hAnsi="黑体" w:eastAsia="黑体" w:cs="Calibri"/>
          <w:bCs/>
          <w:kern w:val="0"/>
          <w:sz w:val="32"/>
          <w:szCs w:val="32"/>
        </w:rPr>
        <w:t>、期权</w:t>
      </w:r>
      <w:r>
        <w:rPr>
          <w:rFonts w:ascii="黑体" w:hAnsi="黑体" w:eastAsia="黑体" w:cs="Calibri"/>
          <w:bCs/>
          <w:kern w:val="0"/>
          <w:sz w:val="32"/>
          <w:szCs w:val="32"/>
        </w:rPr>
        <w:t>业务细则》</w:t>
      </w:r>
      <w:r>
        <w:rPr>
          <w:rFonts w:hint="eastAsia" w:ascii="黑体" w:hAnsi="黑体" w:eastAsia="黑体" w:cs="Calibri"/>
          <w:bCs/>
          <w:kern w:val="0"/>
          <w:sz w:val="32"/>
          <w:szCs w:val="32"/>
          <w:lang w:val="en-US" w:eastAsia="zh-CN"/>
        </w:rPr>
        <w:t>修订</w:t>
      </w:r>
      <w:r>
        <w:rPr>
          <w:rFonts w:hint="eastAsia" w:ascii="黑体" w:hAnsi="黑体" w:eastAsia="黑体" w:cs="Calibri"/>
          <w:bCs/>
          <w:kern w:val="0"/>
          <w:sz w:val="32"/>
          <w:szCs w:val="32"/>
        </w:rPr>
        <w:t>对照表</w:t>
      </w:r>
    </w:p>
    <w:tbl>
      <w:tblPr>
        <w:tblStyle w:val="4"/>
        <w:tblW w:w="8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6"/>
        <w:gridCol w:w="4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6" w:type="dxa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原条文</w:t>
            </w:r>
          </w:p>
        </w:tc>
        <w:tc>
          <w:tcPr>
            <w:tcW w:w="4286" w:type="dxa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修改后条文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第四条 ……贴水</w:t>
            </w:r>
            <w:r>
              <w:rPr>
                <w:rFonts w:ascii="Times New Roman" w:hAnsi="Times New Roman" w:eastAsia="仿宋" w:cs="Times New Roman"/>
                <w:bCs/>
                <w:dstrike/>
                <w:kern w:val="44"/>
                <w:sz w:val="32"/>
                <w:szCs w:val="32"/>
              </w:rPr>
              <w:t>25000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。</w:t>
            </w:r>
          </w:p>
        </w:tc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第四条 ……贴水</w:t>
            </w:r>
            <w:r>
              <w:rPr>
                <w:rFonts w:hint="eastAsia" w:ascii="Times New Roman" w:hAnsi="Times New Roman" w:eastAsia="仿宋" w:cs="Times New Roman"/>
                <w:b/>
                <w:kern w:val="44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" w:cs="Times New Roman"/>
                <w:b/>
                <w:kern w:val="44"/>
                <w:sz w:val="32"/>
                <w:szCs w:val="32"/>
              </w:rPr>
              <w:t>5000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第十条 碳酸锂期货合约的最小变动价位为</w:t>
            </w:r>
            <w:r>
              <w:rPr>
                <w:rFonts w:ascii="Times New Roman" w:hAnsi="Times New Roman" w:eastAsia="仿宋" w:cs="Times New Roman"/>
                <w:bCs/>
                <w:dstrike/>
                <w:kern w:val="44"/>
                <w:sz w:val="32"/>
                <w:szCs w:val="32"/>
              </w:rPr>
              <w:t>50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元/吨。</w:t>
            </w:r>
          </w:p>
        </w:tc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第十条 碳酸锂期货合约的最小变动价位为</w:t>
            </w:r>
            <w:r>
              <w:rPr>
                <w:rFonts w:hint="eastAsia" w:ascii="Times New Roman" w:hAnsi="Times New Roman" w:eastAsia="仿宋" w:cs="Times New Roman"/>
                <w:b/>
                <w:kern w:val="44"/>
                <w:sz w:val="32"/>
                <w:szCs w:val="32"/>
              </w:rPr>
              <w:t>20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第十三条 ……自进入交割月份前1个月第</w:t>
            </w:r>
            <w:r>
              <w:rPr>
                <w:rFonts w:ascii="Times New Roman" w:hAnsi="Times New Roman" w:eastAsia="仿宋" w:cs="Times New Roman"/>
                <w:bCs/>
                <w:dstrike/>
                <w:kern w:val="44"/>
                <w:sz w:val="32"/>
                <w:szCs w:val="32"/>
              </w:rPr>
              <w:t>15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个交易日起，交易所将分时间段逐步提高合约的交易保证金标准，交易保证金标准为：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6"/>
              <w:gridCol w:w="17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</w:trPr>
              <w:tc>
                <w:tcPr>
                  <w:tcW w:w="242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交易时间段</w:t>
                  </w:r>
                </w:p>
              </w:tc>
              <w:tc>
                <w:tcPr>
                  <w:tcW w:w="178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交易保证金标准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8" w:hRule="atLeast"/>
              </w:trPr>
              <w:tc>
                <w:tcPr>
                  <w:tcW w:w="242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交割月份前1个月第</w:t>
                  </w:r>
                  <w:r>
                    <w:rPr>
                      <w:rFonts w:ascii="Times New Roman" w:hAnsi="Times New Roman" w:eastAsia="仿宋" w:cs="Times New Roman"/>
                      <w:bCs/>
                      <w:dstrike/>
                      <w:kern w:val="44"/>
                      <w:sz w:val="28"/>
                      <w:szCs w:val="28"/>
                    </w:rPr>
                    <w:t>15</w:t>
                  </w: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个交易日起</w:t>
                  </w:r>
                </w:p>
              </w:tc>
              <w:tc>
                <w:tcPr>
                  <w:tcW w:w="178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10%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242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交割月份第1个交易日起</w:t>
                  </w:r>
                </w:p>
              </w:tc>
              <w:tc>
                <w:tcPr>
                  <w:tcW w:w="178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20%</w:t>
                  </w:r>
                </w:p>
              </w:tc>
            </w:tr>
          </w:tbl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</w:p>
        </w:tc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第十三条 ……自进入交割月份前1个月第</w:t>
            </w:r>
            <w:r>
              <w:rPr>
                <w:rFonts w:hint="eastAsia" w:ascii="Times New Roman" w:hAnsi="Times New Roman" w:eastAsia="仿宋" w:cs="Times New Roman"/>
                <w:b/>
                <w:kern w:val="44"/>
                <w:sz w:val="32"/>
                <w:szCs w:val="32"/>
              </w:rPr>
              <w:t>10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个交易日起，交易所将分时间段逐步提高合约的交易保证金标准，交易保证金标准为：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6"/>
              <w:gridCol w:w="17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</w:trPr>
              <w:tc>
                <w:tcPr>
                  <w:tcW w:w="242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交易时间段</w:t>
                  </w:r>
                </w:p>
              </w:tc>
              <w:tc>
                <w:tcPr>
                  <w:tcW w:w="178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交易保证金标准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8" w:hRule="atLeast"/>
              </w:trPr>
              <w:tc>
                <w:tcPr>
                  <w:tcW w:w="242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交割月份前1个月第</w:t>
                  </w:r>
                  <w:r>
                    <w:rPr>
                      <w:rFonts w:hint="eastAsia" w:ascii="Times New Roman" w:hAnsi="Times New Roman" w:eastAsia="仿宋" w:cs="Times New Roman"/>
                      <w:b/>
                      <w:kern w:val="44"/>
                      <w:sz w:val="28"/>
                      <w:szCs w:val="28"/>
                    </w:rPr>
                    <w:t>10</w:t>
                  </w: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个交易日起</w:t>
                  </w:r>
                </w:p>
              </w:tc>
              <w:tc>
                <w:tcPr>
                  <w:tcW w:w="178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10%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242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交割月份第1个交易日起</w:t>
                  </w:r>
                </w:p>
              </w:tc>
              <w:tc>
                <w:tcPr>
                  <w:tcW w:w="178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20%</w:t>
                  </w:r>
                </w:p>
              </w:tc>
            </w:tr>
          </w:tbl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第十四条 碳酸锂期货合约非期货公司会员、境外特殊非经纪参与者、客户持仓限额见下表，交割月份个人客户持仓限额为0手：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1"/>
              <w:gridCol w:w="1295"/>
              <w:gridCol w:w="13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时间段</w:t>
                  </w:r>
                </w:p>
              </w:tc>
              <w:tc>
                <w:tcPr>
                  <w:tcW w:w="2677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非期货公司会员、境外特殊非经纪参与者、客户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2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一般月份</w:t>
                  </w:r>
                </w:p>
              </w:tc>
              <w:tc>
                <w:tcPr>
                  <w:tcW w:w="1344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N&gt;3万手</w:t>
                  </w:r>
                </w:p>
              </w:tc>
              <w:tc>
                <w:tcPr>
                  <w:tcW w:w="1333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N×10%手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2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N≤3万手</w:t>
                  </w:r>
                </w:p>
              </w:tc>
              <w:tc>
                <w:tcPr>
                  <w:tcW w:w="1333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3000手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3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交割月份前1个月第</w:t>
                  </w:r>
                  <w:r>
                    <w:rPr>
                      <w:rFonts w:ascii="Times New Roman" w:hAnsi="Times New Roman" w:eastAsia="仿宋" w:cs="Times New Roman"/>
                      <w:bCs/>
                      <w:dstrike/>
                      <w:kern w:val="44"/>
                      <w:sz w:val="28"/>
                      <w:szCs w:val="28"/>
                    </w:rPr>
                    <w:t>15</w:t>
                  </w: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个交易日起</w:t>
                  </w:r>
                </w:p>
              </w:tc>
              <w:tc>
                <w:tcPr>
                  <w:tcW w:w="2677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1000手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交割月份</w:t>
                  </w:r>
                </w:p>
              </w:tc>
              <w:tc>
                <w:tcPr>
                  <w:tcW w:w="2677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300手</w:t>
                  </w:r>
                </w:p>
              </w:tc>
            </w:tr>
          </w:tbl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28"/>
                <w:szCs w:val="28"/>
              </w:rPr>
              <w:t>注：N为某一合约单边持仓总量。</w:t>
            </w:r>
          </w:p>
        </w:tc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第十四条 碳酸锂期货合约非期货公司会员、境外特殊非经纪参与者、客户持仓限额见下表，交割月份个人客户持仓限额为0手：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1"/>
              <w:gridCol w:w="1295"/>
              <w:gridCol w:w="13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时间段</w:t>
                  </w:r>
                </w:p>
              </w:tc>
              <w:tc>
                <w:tcPr>
                  <w:tcW w:w="2677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非期货公司会员、境外特殊非经纪参与者、客户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2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一般月份</w:t>
                  </w:r>
                </w:p>
              </w:tc>
              <w:tc>
                <w:tcPr>
                  <w:tcW w:w="1344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N&gt;3万手</w:t>
                  </w:r>
                </w:p>
              </w:tc>
              <w:tc>
                <w:tcPr>
                  <w:tcW w:w="1333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N×10%手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2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N≤3万手</w:t>
                  </w:r>
                </w:p>
              </w:tc>
              <w:tc>
                <w:tcPr>
                  <w:tcW w:w="1333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3000手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3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交割月份前1个月第</w:t>
                  </w:r>
                  <w:r>
                    <w:rPr>
                      <w:rFonts w:hint="eastAsia" w:ascii="Times New Roman" w:hAnsi="Times New Roman" w:eastAsia="仿宋" w:cs="Times New Roman"/>
                      <w:b/>
                      <w:kern w:val="44"/>
                      <w:sz w:val="28"/>
                      <w:szCs w:val="28"/>
                    </w:rPr>
                    <w:t>10</w:t>
                  </w: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个交易日起</w:t>
                  </w:r>
                </w:p>
              </w:tc>
              <w:tc>
                <w:tcPr>
                  <w:tcW w:w="2677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1000手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交割月份</w:t>
                  </w:r>
                </w:p>
              </w:tc>
              <w:tc>
                <w:tcPr>
                  <w:tcW w:w="2677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44"/>
                      <w:sz w:val="28"/>
                      <w:szCs w:val="28"/>
                    </w:rPr>
                    <w:t>300手</w:t>
                  </w:r>
                </w:p>
              </w:tc>
            </w:tr>
          </w:tbl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28"/>
                <w:szCs w:val="28"/>
              </w:rPr>
              <w:t>注：N为某一合约单边持仓总量。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第四十四条 碳酸锂期货交割手续费、仓储费、出入库费、检验费等交割相关费用标准由交易所另行规定并公布。</w:t>
            </w:r>
          </w:p>
        </w:tc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 xml:space="preserve">第四十四条 </w:t>
            </w:r>
            <w:r>
              <w:rPr>
                <w:rFonts w:ascii="Times New Roman" w:hAnsi="Times New Roman" w:eastAsia="仿宋" w:cs="Times New Roman"/>
                <w:b/>
                <w:kern w:val="44"/>
                <w:sz w:val="32"/>
                <w:szCs w:val="32"/>
              </w:rPr>
              <w:t>碳酸锂期货交割货款以交割结算价为基础，再加上交割库升贴水、质量升贴水进行结算。</w:t>
            </w:r>
          </w:p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碳酸锂期货交割手续费、仓储费、出入库费、检验费等交割相关费用标准由交易所另行规定并公布。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第四十九条 会员办理交割预报时，应当按</w:t>
            </w:r>
            <w:r>
              <w:rPr>
                <w:rFonts w:ascii="Times New Roman" w:hAnsi="Times New Roman" w:eastAsia="仿宋" w:cs="Times New Roman"/>
                <w:bCs/>
                <w:dstrike/>
                <w:kern w:val="44"/>
                <w:sz w:val="32"/>
                <w:szCs w:val="32"/>
              </w:rPr>
              <w:t>30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元/吨向交易所交纳交割预报定金。</w:t>
            </w:r>
          </w:p>
        </w:tc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第四十九条 会员办理交割预报时，应当按</w:t>
            </w:r>
            <w:r>
              <w:rPr>
                <w:rFonts w:ascii="Times New Roman" w:hAnsi="Times New Roman" w:eastAsia="仿宋" w:cs="Times New Roman"/>
                <w:b/>
                <w:kern w:val="44"/>
                <w:sz w:val="32"/>
                <w:szCs w:val="32"/>
              </w:rPr>
              <w:t>200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元/吨向交易所交纳交割预报定金。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第六十七条 ……滞纳金标准为</w:t>
            </w:r>
            <w:r>
              <w:rPr>
                <w:rFonts w:ascii="Times New Roman" w:hAnsi="Times New Roman" w:eastAsia="仿宋" w:cs="Times New Roman"/>
                <w:bCs/>
                <w:dstrike/>
                <w:kern w:val="44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元/吨•天。</w:t>
            </w:r>
          </w:p>
        </w:tc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第六十七条 ……滞纳金标准为</w:t>
            </w:r>
            <w:r>
              <w:rPr>
                <w:rFonts w:ascii="Times New Roman" w:hAnsi="Times New Roman" w:eastAsia="仿宋" w:cs="Times New Roman"/>
                <w:b/>
                <w:kern w:val="44"/>
                <w:sz w:val="32"/>
                <w:szCs w:val="32"/>
              </w:rPr>
              <w:t>100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元/吨•天。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第六十八条 ……滞纳金标准为</w:t>
            </w:r>
            <w:r>
              <w:rPr>
                <w:rFonts w:ascii="Times New Roman" w:hAnsi="Times New Roman" w:eastAsia="仿宋" w:cs="Times New Roman"/>
                <w:bCs/>
                <w:dstrike/>
                <w:kern w:val="44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元/吨•天。</w:t>
            </w:r>
          </w:p>
        </w:tc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第六十八条 ……滞纳金标准为</w:t>
            </w:r>
            <w:r>
              <w:rPr>
                <w:rFonts w:ascii="Times New Roman" w:hAnsi="Times New Roman" w:eastAsia="仿宋" w:cs="Times New Roman"/>
                <w:b/>
                <w:kern w:val="44"/>
                <w:sz w:val="32"/>
                <w:szCs w:val="32"/>
              </w:rPr>
              <w:t>100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元/吨•天。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第六十九条 ……滞纳金金额=</w:t>
            </w:r>
            <w:r>
              <w:rPr>
                <w:rFonts w:ascii="Times New Roman" w:hAnsi="Times New Roman" w:eastAsia="仿宋" w:cs="Times New Roman"/>
                <w:bCs/>
                <w:dstrike/>
                <w:kern w:val="44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元/吨•天×全部的商品数量×19天</w:t>
            </w:r>
          </w:p>
        </w:tc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第六十九条 ……滞纳金金额=</w:t>
            </w:r>
            <w:r>
              <w:rPr>
                <w:rFonts w:ascii="Times New Roman" w:hAnsi="Times New Roman" w:eastAsia="仿宋" w:cs="Times New Roman"/>
                <w:b/>
                <w:kern w:val="44"/>
                <w:sz w:val="32"/>
                <w:szCs w:val="32"/>
              </w:rPr>
              <w:t>100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元/吨•天×全部的商品数量×19天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第七十九条 本细则自</w:t>
            </w:r>
            <w:r>
              <w:rPr>
                <w:rFonts w:ascii="Times New Roman" w:hAnsi="Times New Roman" w:eastAsia="仿宋" w:cs="Times New Roman"/>
                <w:bCs/>
                <w:dstrike/>
                <w:kern w:val="44"/>
                <w:sz w:val="32"/>
                <w:szCs w:val="32"/>
              </w:rPr>
              <w:t>2023年7月11日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起实施。</w:t>
            </w:r>
          </w:p>
        </w:tc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第七十九条 本细则自</w:t>
            </w:r>
            <w:r>
              <w:rPr>
                <w:rFonts w:ascii="Times New Roman" w:hAnsi="Times New Roman" w:eastAsia="仿宋" w:cs="Times New Roman"/>
                <w:b/>
                <w:kern w:val="44"/>
                <w:sz w:val="32"/>
                <w:szCs w:val="32"/>
              </w:rPr>
              <w:t>发布之日</w:t>
            </w:r>
            <w:r>
              <w:rPr>
                <w:rFonts w:ascii="Times New Roman" w:hAnsi="Times New Roman" w:eastAsia="仿宋" w:cs="Times New Roman"/>
                <w:bCs/>
                <w:kern w:val="44"/>
                <w:sz w:val="32"/>
                <w:szCs w:val="32"/>
              </w:rPr>
              <w:t>起实施。</w:t>
            </w:r>
          </w:p>
        </w:tc>
      </w:tr>
      <w:bookmarkEnd w:id="0"/>
    </w:tbl>
    <w:p>
      <w:pPr>
        <w:widowControl/>
        <w:spacing w:line="56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Calibri"/>
          <w:kern w:val="0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Calibri"/>
          <w:kern w:val="0"/>
          <w:sz w:val="32"/>
          <w:szCs w:val="32"/>
          <w:shd w:val="clear" w:color="auto" w:fill="FFFFFF"/>
          <w:lang w:eastAsia="zh-CN"/>
        </w:rPr>
        <w:t>《广州期货交易所碳酸锂期货合约》</w:t>
      </w:r>
      <w:r>
        <w:rPr>
          <w:rFonts w:hint="eastAsia" w:ascii="黑体" w:hAnsi="黑体" w:eastAsia="黑体" w:cs="Calibri"/>
          <w:kern w:val="0"/>
          <w:sz w:val="32"/>
          <w:szCs w:val="32"/>
          <w:shd w:val="clear" w:color="auto" w:fill="FFFFFF"/>
          <w:lang w:val="en-US" w:eastAsia="zh-CN"/>
        </w:rPr>
        <w:t>修订</w:t>
      </w:r>
      <w:r>
        <w:rPr>
          <w:rFonts w:hint="eastAsia" w:ascii="黑体" w:hAnsi="黑体" w:eastAsia="黑体" w:cs="Calibri"/>
          <w:kern w:val="0"/>
          <w:sz w:val="32"/>
          <w:szCs w:val="32"/>
          <w:shd w:val="clear" w:color="auto" w:fill="FFFFFF"/>
        </w:rPr>
        <w:t>对照表</w:t>
      </w:r>
    </w:p>
    <w:tbl>
      <w:tblPr>
        <w:tblStyle w:val="4"/>
        <w:tblW w:w="8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6"/>
        <w:gridCol w:w="4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原条文</w:t>
            </w:r>
          </w:p>
        </w:tc>
        <w:tc>
          <w:tcPr>
            <w:tcW w:w="428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修改后条文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Calibri"/>
                <w:bCs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Calibri"/>
                <w:bCs/>
                <w:kern w:val="44"/>
                <w:sz w:val="32"/>
                <w:szCs w:val="32"/>
              </w:rPr>
              <w:t xml:space="preserve">最小变动价位  </w:t>
            </w:r>
            <w:r>
              <w:rPr>
                <w:rFonts w:hint="eastAsia" w:ascii="Times New Roman" w:hAnsi="Times New Roman" w:eastAsia="仿宋" w:cs="Calibri"/>
                <w:bCs/>
                <w:dstrike/>
                <w:kern w:val="44"/>
                <w:sz w:val="32"/>
                <w:szCs w:val="32"/>
              </w:rPr>
              <w:t>50</w:t>
            </w:r>
            <w:r>
              <w:rPr>
                <w:rFonts w:hint="eastAsia" w:ascii="Times New Roman" w:hAnsi="Times New Roman" w:eastAsia="仿宋" w:cs="Calibri"/>
                <w:bCs/>
                <w:kern w:val="44"/>
                <w:sz w:val="32"/>
                <w:szCs w:val="32"/>
              </w:rPr>
              <w:t>元/吨</w:t>
            </w:r>
          </w:p>
        </w:tc>
        <w:tc>
          <w:tcPr>
            <w:tcW w:w="4286" w:type="dxa"/>
          </w:tcPr>
          <w:p>
            <w:pPr>
              <w:widowControl/>
              <w:rPr>
                <w:rFonts w:ascii="Times New Roman" w:hAnsi="Times New Roman" w:eastAsia="仿宋" w:cs="Calibri"/>
                <w:bCs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Calibri"/>
                <w:bCs/>
                <w:kern w:val="44"/>
                <w:sz w:val="32"/>
                <w:szCs w:val="32"/>
              </w:rPr>
              <w:t xml:space="preserve">最小变动价位  </w:t>
            </w:r>
            <w:r>
              <w:rPr>
                <w:rFonts w:hint="eastAsia" w:ascii="Times New Roman" w:hAnsi="Times New Roman" w:eastAsia="仿宋" w:cs="Calibri"/>
                <w:b/>
                <w:kern w:val="44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" w:cs="Calibri"/>
                <w:bCs/>
                <w:kern w:val="44"/>
                <w:sz w:val="32"/>
                <w:szCs w:val="32"/>
              </w:rPr>
              <w:t>元/吨</w:t>
            </w:r>
          </w:p>
        </w:tc>
      </w:tr>
    </w:tbl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F54FA"/>
    <w:rsid w:val="9C1CA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2024-11-28T08:59:00Z</dcterms:created>
  <dc:creator>admin</dc:creator>
  <cp:lastModifiedBy>linwy</cp:lastModifiedBy>
  <dcterms:modified xsi:type="dcterms:W3CDTF">2024-12-06T09:19:29Z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2E942E54CD634B84A28E3989A1A5DFA4</vt:lpwstr>
  </property>
</Properties>
</file>